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BACCDE" w14:textId="70D2EE14" w:rsidR="00866973" w:rsidRDefault="00866973" w:rsidP="0086697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91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37258A" w:rsidRPr="0037258A">
        <w:rPr>
          <w:rFonts w:ascii="Arial" w:hAnsi="Arial" w:cs="Arial"/>
          <w:b/>
          <w:sz w:val="24"/>
          <w:lang w:val="en-US"/>
        </w:rPr>
        <w:t>R5-213249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3" w:name="_Hlk59524035"/>
      <w:r>
        <w:rPr>
          <w:rFonts w:ascii="Arial" w:hAnsi="Arial" w:cs="Arial"/>
          <w:b/>
          <w:sz w:val="24"/>
        </w:rPr>
        <w:t>17 May– 28 May 2021</w:t>
      </w:r>
      <w:bookmarkEnd w:id="3"/>
    </w:p>
    <w:p w14:paraId="2B522788" w14:textId="77777777" w:rsidR="00866973" w:rsidRPr="00354167" w:rsidRDefault="00866973" w:rsidP="00866973">
      <w:pPr>
        <w:rPr>
          <w:rFonts w:ascii="Arial" w:hAnsi="Arial" w:cs="Arial"/>
          <w:b/>
          <w:sz w:val="24"/>
          <w:szCs w:val="24"/>
        </w:rPr>
      </w:pPr>
    </w:p>
    <w:p w14:paraId="35952388" w14:textId="61904A7D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7258A" w:rsidRPr="0037258A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279BBDFC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A3AE0" w:rsidRPr="00B62F7F">
        <w:rPr>
          <w:rFonts w:ascii="Arial" w:hAnsi="Arial" w:cs="Arial"/>
          <w:sz w:val="24"/>
          <w:szCs w:val="24"/>
        </w:rPr>
        <w:t>On Vendor Declaration Related to Antenna Aperture D</w:t>
      </w:r>
      <w:r w:rsidR="00B62F7F">
        <w:rPr>
          <w:rFonts w:ascii="Arial" w:hAnsi="Arial" w:cs="Arial"/>
          <w:sz w:val="24"/>
          <w:szCs w:val="24"/>
        </w:rPr>
        <w:t xml:space="preserve"> for DFF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Pr="00354167" w:rsidRDefault="00816C9D" w:rsidP="001E1CF6">
      <w:pPr>
        <w:pStyle w:val="Heading1"/>
        <w:ind w:left="567" w:hanging="567"/>
      </w:pPr>
      <w:r w:rsidRPr="00354167">
        <w:t>Introduction</w:t>
      </w:r>
    </w:p>
    <w:p w14:paraId="3595238D" w14:textId="61F0F2E3" w:rsidR="000606FD" w:rsidRPr="00354167" w:rsidRDefault="000833ED" w:rsidP="006C2AF9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B62F7F">
        <w:rPr>
          <w:rFonts w:eastAsia="Batang"/>
        </w:rPr>
        <w:t xml:space="preserve"> is addressing </w:t>
      </w:r>
      <w:r w:rsidR="00A81B6C">
        <w:rPr>
          <w:rFonts w:eastAsia="Batang"/>
        </w:rPr>
        <w:t xml:space="preserve">the </w:t>
      </w:r>
      <w:r w:rsidR="0037258A">
        <w:rPr>
          <w:rFonts w:eastAsia="Batang"/>
        </w:rPr>
        <w:t>details of the</w:t>
      </w:r>
      <w:r w:rsidR="00A81B6C">
        <w:rPr>
          <w:rFonts w:eastAsia="Batang"/>
        </w:rPr>
        <w:t xml:space="preserve"> </w:t>
      </w:r>
      <w:r w:rsidR="00B62F7F">
        <w:rPr>
          <w:rFonts w:eastAsia="Batang"/>
        </w:rPr>
        <w:t xml:space="preserve">antenna aperture </w:t>
      </w:r>
      <w:r w:rsidR="00B62F7F" w:rsidRPr="00F87203">
        <w:rPr>
          <w:rFonts w:eastAsia="Batang"/>
          <w:i/>
          <w:iCs/>
        </w:rPr>
        <w:t>D</w:t>
      </w:r>
      <w:r w:rsidR="00B62F7F">
        <w:rPr>
          <w:rFonts w:eastAsia="Batang"/>
        </w:rPr>
        <w:t xml:space="preserve"> </w:t>
      </w:r>
      <w:r w:rsidR="00A81B6C">
        <w:rPr>
          <w:rFonts w:eastAsia="Batang"/>
        </w:rPr>
        <w:t xml:space="preserve">declaration </w:t>
      </w:r>
      <w:r w:rsidR="00B62F7F">
        <w:rPr>
          <w:rFonts w:eastAsia="Batang"/>
        </w:rPr>
        <w:t>for DFF methodologies</w:t>
      </w:r>
      <w:r w:rsidR="006C2AF9" w:rsidRPr="00354167">
        <w:rPr>
          <w:rFonts w:eastAsia="Batang"/>
        </w:rPr>
        <w:t>.</w:t>
      </w:r>
    </w:p>
    <w:p w14:paraId="3595238E" w14:textId="18E46FE5" w:rsidR="0053435C" w:rsidRPr="00354167" w:rsidRDefault="00FA3AE0" w:rsidP="0053435C">
      <w:pPr>
        <w:pStyle w:val="Heading1"/>
        <w:ind w:left="567" w:hanging="567"/>
      </w:pPr>
      <w:r>
        <w:t>Discussion</w:t>
      </w:r>
    </w:p>
    <w:p w14:paraId="43F5797D" w14:textId="1FDC48FA" w:rsidR="00F46E30" w:rsidRDefault="00FB49EC" w:rsidP="00F46E30">
      <w:bookmarkStart w:id="4" w:name="_Ref31104997"/>
      <w:r>
        <w:t>While the IFF methodology does not require any</w:t>
      </w:r>
      <w:r w:rsidR="00F87203">
        <w:t xml:space="preserve"> vendor </w:t>
      </w:r>
      <w:r>
        <w:t xml:space="preserve">declaration </w:t>
      </w:r>
      <w:r w:rsidR="00F87203">
        <w:t xml:space="preserve">in terms of the antenna apertures, </w:t>
      </w:r>
      <w:r w:rsidR="00F87203" w:rsidRPr="00F87203">
        <w:rPr>
          <w:i/>
          <w:iCs/>
        </w:rPr>
        <w:t>D</w:t>
      </w:r>
      <w:r w:rsidR="00F87203">
        <w:t xml:space="preserve">, integrated inside of the DUT, e.g., clause B.2.4.1 of </w:t>
      </w:r>
      <w:r w:rsidR="00F87203">
        <w:fldChar w:fldCharType="begin"/>
      </w:r>
      <w:r w:rsidR="00F87203">
        <w:instrText xml:space="preserve"> REF _Ref59535264 \w \h </w:instrText>
      </w:r>
      <w:r w:rsidR="00F87203">
        <w:fldChar w:fldCharType="separate"/>
      </w:r>
      <w:r w:rsidR="00667FCB">
        <w:t>[1]</w:t>
      </w:r>
      <w:r w:rsidR="00F87203">
        <w:fldChar w:fldCharType="end"/>
      </w:r>
      <w:r w:rsidR="00F8720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7203" w14:paraId="5D466682" w14:textId="77777777" w:rsidTr="00F87203">
        <w:tc>
          <w:tcPr>
            <w:tcW w:w="9631" w:type="dxa"/>
          </w:tcPr>
          <w:p w14:paraId="02FB9B37" w14:textId="77777777" w:rsidR="00F87203" w:rsidRPr="00C67202" w:rsidRDefault="00F87203" w:rsidP="00F87203">
            <w:r w:rsidRPr="00C67202">
              <w:t>The applicability criteria of this test method are:</w:t>
            </w:r>
          </w:p>
          <w:p w14:paraId="097E43C2" w14:textId="77777777" w:rsidR="00F87203" w:rsidRPr="00C67202" w:rsidRDefault="00F87203" w:rsidP="00F87203">
            <w:pPr>
              <w:pStyle w:val="B1"/>
            </w:pPr>
            <w:r w:rsidRPr="00C67202">
              <w:t>-</w:t>
            </w:r>
            <w:r w:rsidRPr="00C67202">
              <w:tab/>
              <w:t>The total test volume, i.e., the quiet zone is defined as a sphere with radius R.</w:t>
            </w:r>
          </w:p>
          <w:p w14:paraId="4BFA147D" w14:textId="77777777" w:rsidR="00F87203" w:rsidRPr="00C67202" w:rsidRDefault="00F87203" w:rsidP="00F87203">
            <w:pPr>
              <w:pStyle w:val="B1"/>
            </w:pPr>
            <w:r w:rsidRPr="00C67202">
              <w:t>-</w:t>
            </w:r>
            <w:r w:rsidRPr="00C67202">
              <w:tab/>
              <w:t>DUT must fit within the quiet zone for the entire duration of the test.</w:t>
            </w:r>
          </w:p>
          <w:p w14:paraId="53F0D3EB" w14:textId="77777777" w:rsidR="00F87203" w:rsidRPr="00C67202" w:rsidRDefault="00F87203" w:rsidP="00F87203">
            <w:pPr>
              <w:pStyle w:val="B1"/>
            </w:pPr>
            <w:r w:rsidRPr="00C67202">
              <w:t>-</w:t>
            </w:r>
            <w:r w:rsidRPr="00C67202">
              <w:tab/>
              <w:t xml:space="preserve">Either a single radiating aperture, multiple non-coherent </w:t>
            </w:r>
            <w:proofErr w:type="gramStart"/>
            <w:r w:rsidRPr="00C67202">
              <w:t>apertures</w:t>
            </w:r>
            <w:proofErr w:type="gramEnd"/>
            <w:r w:rsidRPr="00C67202">
              <w:t xml:space="preserve"> or multiple coherent apertures DUTs can be tested.</w:t>
            </w:r>
          </w:p>
          <w:p w14:paraId="18C51F17" w14:textId="7FD2036B" w:rsidR="00F87203" w:rsidRDefault="00F87203" w:rsidP="00F87203">
            <w:pPr>
              <w:pStyle w:val="B1"/>
            </w:pPr>
            <w:r w:rsidRPr="00C67202">
              <w:t>-</w:t>
            </w:r>
            <w:r w:rsidRPr="00C67202">
              <w:tab/>
            </w:r>
            <w:r w:rsidRPr="00F87203">
              <w:rPr>
                <w:highlight w:val="yellow"/>
              </w:rPr>
              <w:t xml:space="preserve">No manufacturer declaration of the </w:t>
            </w:r>
            <w:r w:rsidRPr="00F87203">
              <w:rPr>
                <w:highlight w:val="yellow"/>
                <w:lang w:eastAsia="ja-JP"/>
              </w:rPr>
              <w:t>antenna array size</w:t>
            </w:r>
            <w:r w:rsidRPr="00F87203">
              <w:rPr>
                <w:highlight w:val="yellow"/>
              </w:rPr>
              <w:t xml:space="preserve"> is needed.</w:t>
            </w:r>
          </w:p>
        </w:tc>
      </w:tr>
    </w:tbl>
    <w:p w14:paraId="7D63CC42" w14:textId="4F673437" w:rsidR="00F87203" w:rsidRDefault="00F87203" w:rsidP="00F46E30">
      <w:r>
        <w:t>On the other hand</w:t>
      </w:r>
      <w:r w:rsidR="00A76765">
        <w:t xml:space="preserve">, since the range lengths of the DFF-based systems depend on the antenna apertures, </w:t>
      </w:r>
      <w:r w:rsidR="00A76765" w:rsidRPr="00A76765">
        <w:rPr>
          <w:i/>
          <w:iCs/>
        </w:rPr>
        <w:t>D</w:t>
      </w:r>
      <w:r w:rsidR="00A76765">
        <w:t xml:space="preserve">, i.e., Clause  B.2.2.4 of </w:t>
      </w:r>
      <w:r w:rsidR="00A76765">
        <w:fldChar w:fldCharType="begin"/>
      </w:r>
      <w:r w:rsidR="00A76765">
        <w:instrText xml:space="preserve"> REF _Ref59535264 \w \h </w:instrText>
      </w:r>
      <w:r w:rsidR="00A76765">
        <w:fldChar w:fldCharType="separate"/>
      </w:r>
      <w:r w:rsidR="00667FCB">
        <w:t>[1]</w:t>
      </w:r>
      <w:r w:rsidR="00A76765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76765" w14:paraId="177653B4" w14:textId="77777777" w:rsidTr="00A76765">
        <w:tc>
          <w:tcPr>
            <w:tcW w:w="9631" w:type="dxa"/>
          </w:tcPr>
          <w:p w14:paraId="75AC4D52" w14:textId="77777777" w:rsidR="00A76765" w:rsidRPr="00C67202" w:rsidRDefault="00A76765" w:rsidP="00A76765">
            <w:r w:rsidRPr="00C67202">
              <w:t>With this setup, the minimum range length, R</w:t>
            </w:r>
            <w:r w:rsidRPr="00C67202">
              <w:rPr>
                <w:vertAlign w:val="subscript"/>
              </w:rPr>
              <w:t>DFF</w:t>
            </w:r>
            <w:r w:rsidRPr="00C67202">
              <w:t>, can be determined as</w:t>
            </w:r>
          </w:p>
          <w:p w14:paraId="26A15CEA" w14:textId="3D68303D" w:rsidR="00A76765" w:rsidRPr="00A76765" w:rsidRDefault="00A76765" w:rsidP="00A76765">
            <w:pPr>
              <w:pStyle w:val="EQ"/>
              <w:jc w:val="center"/>
              <w:rPr>
                <w:rFonts w:ascii="Symbol" w:hAnsi="Symbol" w:hint="eastAsia"/>
                <w:noProof w:val="0"/>
              </w:rPr>
            </w:pPr>
            <w:r w:rsidRPr="00A76765">
              <w:rPr>
                <w:noProof w:val="0"/>
                <w:highlight w:val="yellow"/>
              </w:rPr>
              <w:t>R</w:t>
            </w:r>
            <w:r w:rsidRPr="00A76765">
              <w:rPr>
                <w:noProof w:val="0"/>
                <w:highlight w:val="yellow"/>
                <w:vertAlign w:val="subscript"/>
              </w:rPr>
              <w:t>DFF</w:t>
            </w:r>
            <w:r w:rsidRPr="00A76765">
              <w:rPr>
                <w:noProof w:val="0"/>
                <w:highlight w:val="yellow"/>
              </w:rPr>
              <w:t xml:space="preserve"> = R</w:t>
            </w:r>
            <w:r w:rsidRPr="00A76765">
              <w:rPr>
                <w:noProof w:val="0"/>
                <w:highlight w:val="yellow"/>
                <w:vertAlign w:val="subscript"/>
              </w:rPr>
              <w:t>QZ</w:t>
            </w:r>
            <w:r w:rsidRPr="00A76765">
              <w:rPr>
                <w:noProof w:val="0"/>
                <w:highlight w:val="yellow"/>
              </w:rPr>
              <w:t xml:space="preserve"> – D/2 + R</w:t>
            </w:r>
            <w:r w:rsidRPr="00A76765">
              <w:rPr>
                <w:noProof w:val="0"/>
                <w:highlight w:val="yellow"/>
                <w:vertAlign w:val="subscript"/>
              </w:rPr>
              <w:t>FF</w:t>
            </w:r>
            <w:r w:rsidRPr="00A76765">
              <w:rPr>
                <w:noProof w:val="0"/>
                <w:highlight w:val="yellow"/>
              </w:rPr>
              <w:t xml:space="preserve"> = R</w:t>
            </w:r>
            <w:r w:rsidRPr="00A76765">
              <w:rPr>
                <w:noProof w:val="0"/>
                <w:highlight w:val="yellow"/>
                <w:vertAlign w:val="subscript"/>
              </w:rPr>
              <w:t>QZ</w:t>
            </w:r>
            <w:r w:rsidRPr="00A76765">
              <w:rPr>
                <w:noProof w:val="0"/>
                <w:highlight w:val="yellow"/>
              </w:rPr>
              <w:t xml:space="preserve"> – D/2 + 2D</w:t>
            </w:r>
            <w:r w:rsidRPr="00A76765">
              <w:rPr>
                <w:noProof w:val="0"/>
                <w:highlight w:val="yellow"/>
                <w:vertAlign w:val="superscript"/>
              </w:rPr>
              <w:t>2</w:t>
            </w:r>
            <w:r w:rsidRPr="00A76765">
              <w:rPr>
                <w:noProof w:val="0"/>
                <w:highlight w:val="yellow"/>
              </w:rPr>
              <w:t>/</w:t>
            </w:r>
            <w:r w:rsidRPr="00A76765">
              <w:rPr>
                <w:rFonts w:ascii="Symbol" w:hAnsi="Symbol"/>
                <w:noProof w:val="0"/>
                <w:highlight w:val="yellow"/>
              </w:rPr>
              <w:t></w:t>
            </w:r>
          </w:p>
        </w:tc>
      </w:tr>
    </w:tbl>
    <w:p w14:paraId="02943039" w14:textId="176081A7" w:rsidR="00804350" w:rsidRDefault="00A76765" w:rsidP="00F46E30">
      <w:r>
        <w:t xml:space="preserve">it was well understood that such systems </w:t>
      </w:r>
      <w:r w:rsidR="00804350">
        <w:t xml:space="preserve">(DFF, hybrid DFF/IFF) </w:t>
      </w:r>
      <w:r>
        <w:t xml:space="preserve">could not support </w:t>
      </w:r>
      <w:r w:rsidR="00804350">
        <w:t xml:space="preserve">arbitrary antenna apertures, e.g., </w:t>
      </w:r>
      <w:r w:rsidR="00804350">
        <w:fldChar w:fldCharType="begin"/>
      </w:r>
      <w:r w:rsidR="00804350">
        <w:instrText xml:space="preserve"> REF _Ref59537789 \h </w:instrText>
      </w:r>
      <w:r w:rsidR="00804350">
        <w:fldChar w:fldCharType="separate"/>
      </w:r>
      <w:r w:rsidR="00667FCB">
        <w:t xml:space="preserve">Table </w:t>
      </w:r>
      <w:r w:rsidR="00667FCB">
        <w:rPr>
          <w:noProof/>
        </w:rPr>
        <w:t>1</w:t>
      </w:r>
      <w:r w:rsidR="00804350">
        <w:fldChar w:fldCharType="end"/>
      </w:r>
      <w:r w:rsidR="00804350">
        <w:t xml:space="preserve"> outlines the required range lengths for DFF systems supporting a 30cm QZ. Clearly, systems with range lengths </w:t>
      </w:r>
      <w:proofErr w:type="gramStart"/>
      <w:r w:rsidR="00804350">
        <w:t>of  &gt;</w:t>
      </w:r>
      <w:proofErr w:type="gramEnd"/>
      <w:r w:rsidR="00804350">
        <w:t xml:space="preserve">&gt; 1m </w:t>
      </w:r>
      <w:r w:rsidR="00BB657A">
        <w:t xml:space="preserve">are impractical and not feasible due to the low PSD testability issues. </w:t>
      </w:r>
    </w:p>
    <w:p w14:paraId="66AF2657" w14:textId="198CFD36" w:rsidR="00804350" w:rsidRDefault="00804350" w:rsidP="00804350">
      <w:pPr>
        <w:pStyle w:val="Caption"/>
        <w:jc w:val="center"/>
      </w:pPr>
      <w:bookmarkStart w:id="5" w:name="_Ref5953778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67FCB">
        <w:rPr>
          <w:noProof/>
        </w:rPr>
        <w:t>1</w:t>
      </w:r>
      <w:r>
        <w:fldChar w:fldCharType="end"/>
      </w:r>
      <w:bookmarkEnd w:id="5"/>
      <w:r>
        <w:t>: DFF Range Lengths for 30cm QZ DFF Systems</w:t>
      </w:r>
    </w:p>
    <w:tbl>
      <w:tblPr>
        <w:tblW w:w="5782" w:type="dxa"/>
        <w:jc w:val="center"/>
        <w:tblLook w:val="04A0" w:firstRow="1" w:lastRow="0" w:firstColumn="1" w:lastColumn="0" w:noHBand="0" w:noVBand="1"/>
      </w:tblPr>
      <w:tblGrid>
        <w:gridCol w:w="1302"/>
        <w:gridCol w:w="896"/>
        <w:gridCol w:w="896"/>
        <w:gridCol w:w="896"/>
        <w:gridCol w:w="896"/>
        <w:gridCol w:w="896"/>
      </w:tblGrid>
      <w:tr w:rsidR="00804350" w:rsidRPr="00804350" w14:paraId="361A03F8" w14:textId="77777777" w:rsidTr="00804350">
        <w:trPr>
          <w:trHeight w:val="92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hideMark/>
          </w:tcPr>
          <w:p w14:paraId="580E2C6C" w14:textId="77777777" w:rsidR="00804350" w:rsidRPr="00804350" w:rsidRDefault="00804350" w:rsidP="00804350">
            <w:pPr>
              <w:spacing w:after="0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804350">
              <w:rPr>
                <w:rFonts w:eastAsia="Times New Roman"/>
                <w:b/>
                <w:bCs/>
                <w:color w:val="000000"/>
                <w:lang w:val="en-US"/>
              </w:rPr>
              <w:t xml:space="preserve">    </w:t>
            </w:r>
            <w:r w:rsidRPr="00804350">
              <w:rPr>
                <w:rFonts w:eastAsia="Times New Roman"/>
                <w:b/>
                <w:bCs/>
                <w:i/>
                <w:iCs/>
                <w:color w:val="000000"/>
                <w:lang w:val="en-US"/>
              </w:rPr>
              <w:t>f</w:t>
            </w:r>
            <w:r w:rsidRPr="00804350">
              <w:rPr>
                <w:rFonts w:eastAsia="Times New Roman"/>
                <w:b/>
                <w:bCs/>
                <w:color w:val="000000"/>
                <w:lang w:val="en-US"/>
              </w:rPr>
              <w:t xml:space="preserve"> [GHz]</w:t>
            </w:r>
            <w:r w:rsidRPr="00804350">
              <w:rPr>
                <w:rFonts w:eastAsia="Times New Roman"/>
                <w:b/>
                <w:bCs/>
                <w:color w:val="000000"/>
                <w:lang w:val="en-US"/>
              </w:rPr>
              <w:br/>
            </w:r>
            <w:r w:rsidRPr="00804350">
              <w:rPr>
                <w:rFonts w:eastAsia="Times New Roman"/>
                <w:b/>
                <w:bCs/>
                <w:color w:val="000000"/>
                <w:lang w:val="en-US"/>
              </w:rPr>
              <w:br/>
            </w:r>
            <w:r w:rsidRPr="00804350">
              <w:rPr>
                <w:rFonts w:eastAsia="Times New Roman"/>
                <w:b/>
                <w:bCs/>
                <w:i/>
                <w:iCs/>
                <w:color w:val="000000"/>
                <w:lang w:val="en-US"/>
              </w:rPr>
              <w:t>D</w:t>
            </w:r>
            <w:r w:rsidRPr="00804350">
              <w:rPr>
                <w:rFonts w:eastAsia="Times New Roman"/>
                <w:b/>
                <w:bCs/>
                <w:color w:val="000000"/>
                <w:lang w:val="en-US"/>
              </w:rPr>
              <w:t xml:space="preserve"> [cm]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0D8B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24.25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4CF6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30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4D6F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93E1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43.5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28FC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52.6</w:t>
            </w:r>
          </w:p>
        </w:tc>
      </w:tr>
      <w:tr w:rsidR="00804350" w:rsidRPr="00804350" w14:paraId="22CF87D3" w14:textId="77777777" w:rsidTr="00804350">
        <w:trPr>
          <w:trHeight w:val="26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1251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6835E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0.20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A941B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0.22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072F3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0.25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6B563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0.26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95A07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0.28</w:t>
            </w:r>
          </w:p>
        </w:tc>
      </w:tr>
      <w:tr w:rsidR="00804350" w:rsidRPr="00804350" w14:paraId="5B75A370" w14:textId="77777777" w:rsidTr="00804350">
        <w:trPr>
          <w:trHeight w:val="26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A75DC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821FB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0.28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C88B5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0.32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53828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0.38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83D67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0.40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8A7AE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0.45</w:t>
            </w:r>
          </w:p>
        </w:tc>
      </w:tr>
      <w:tr w:rsidR="00804350" w:rsidRPr="00804350" w14:paraId="515055C9" w14:textId="77777777" w:rsidTr="00804350">
        <w:trPr>
          <w:trHeight w:val="26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E8BD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C6777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0.39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9FAAC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0.45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28C66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0.56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70FED3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0.59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C88FF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0.69</w:t>
            </w:r>
          </w:p>
        </w:tc>
      </w:tr>
      <w:tr w:rsidR="00804350" w:rsidRPr="00804350" w14:paraId="605DF604" w14:textId="77777777" w:rsidTr="00804350">
        <w:trPr>
          <w:trHeight w:val="26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CDE0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1B349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0.53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7D81A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0.63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A3C75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0.79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E1445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0.85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6C64A6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1.00</w:t>
            </w:r>
          </w:p>
        </w:tc>
      </w:tr>
      <w:tr w:rsidR="00804350" w:rsidRPr="00804350" w14:paraId="1C3E3CA3" w14:textId="77777777" w:rsidTr="00804350">
        <w:trPr>
          <w:trHeight w:val="26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DCC2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7.5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28C823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1.02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28908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1.24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FD918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1.61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582864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1.74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2406D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2.09</w:t>
            </w:r>
          </w:p>
        </w:tc>
      </w:tr>
      <w:tr w:rsidR="00804350" w:rsidRPr="00804350" w14:paraId="4BEEE7BB" w14:textId="77777777" w:rsidTr="00804350">
        <w:trPr>
          <w:trHeight w:val="26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050B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349F1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1.72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87F51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2.10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8F4F4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2.77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A2D20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3.00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20176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3.61</w:t>
            </w:r>
          </w:p>
        </w:tc>
      </w:tr>
      <w:tr w:rsidR="00804350" w:rsidRPr="00804350" w14:paraId="0F95FD0D" w14:textId="77777777" w:rsidTr="00804350">
        <w:trPr>
          <w:trHeight w:val="26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BEF0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5B409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3.72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88959D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4.58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0616D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6.08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6980B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6.60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3CB2B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7.97</w:t>
            </w:r>
          </w:p>
        </w:tc>
      </w:tr>
      <w:tr w:rsidR="00804350" w:rsidRPr="00804350" w14:paraId="13838A01" w14:textId="77777777" w:rsidTr="00804350">
        <w:trPr>
          <w:trHeight w:val="26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99B1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9D718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6.52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D8B9C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8.06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1BBFC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10.72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583FE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11.66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59220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14.09</w:t>
            </w:r>
          </w:p>
        </w:tc>
      </w:tr>
    </w:tbl>
    <w:p w14:paraId="541451EA" w14:textId="77777777" w:rsidR="00804350" w:rsidRDefault="00804350" w:rsidP="00F46E30"/>
    <w:p w14:paraId="11C1B2BD" w14:textId="406C58B2" w:rsidR="004B4446" w:rsidRDefault="004B4446" w:rsidP="00F46E30">
      <w:r>
        <w:lastRenderedPageBreak/>
        <w:t xml:space="preserve">To date, radiating aperture declarations have not been captured in </w:t>
      </w:r>
      <w:r>
        <w:fldChar w:fldCharType="begin"/>
      </w:r>
      <w:r>
        <w:instrText xml:space="preserve"> REF _Ref59544225 \w \h </w:instrText>
      </w:r>
      <w:r>
        <w:fldChar w:fldCharType="separate"/>
      </w:r>
      <w:r w:rsidR="00667FCB">
        <w:t>[4]</w:t>
      </w:r>
      <w:r>
        <w:fldChar w:fldCharType="end"/>
      </w:r>
      <w:r>
        <w:t xml:space="preserve"> </w:t>
      </w:r>
      <w:r w:rsidR="00152D1F">
        <w:t>mainly because</w:t>
      </w:r>
      <w:r>
        <w:t xml:space="preserve"> the de-facto IFF methodology </w:t>
      </w:r>
      <w:r w:rsidR="00CE2B0B">
        <w:t xml:space="preserve">for UE RF </w:t>
      </w:r>
      <w:r>
        <w:t>did not require any. Since some focus has shifted towards the DFF methodology for RRM test cases</w:t>
      </w:r>
      <w:r w:rsidR="009922F8">
        <w:t>, it is important to define the vendor declaration of the radiation aperture.</w:t>
      </w:r>
    </w:p>
    <w:p w14:paraId="4D25427F" w14:textId="687F7DB4" w:rsidR="009922F8" w:rsidRDefault="009922F8" w:rsidP="009922F8">
      <w:pPr>
        <w:pStyle w:val="Caption"/>
      </w:pPr>
      <w:bookmarkStart w:id="6" w:name="_Ref5954618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667FCB">
        <w:rPr>
          <w:noProof/>
        </w:rPr>
        <w:t>1</w:t>
      </w:r>
      <w:r>
        <w:fldChar w:fldCharType="end"/>
      </w:r>
      <w:r>
        <w:t>: R</w:t>
      </w:r>
      <w:r w:rsidRPr="009922F8">
        <w:t xml:space="preserve">adiating aperture declarations have not been captured in </w:t>
      </w:r>
      <w:r>
        <w:t>38.508-2.</w:t>
      </w:r>
      <w:bookmarkEnd w:id="6"/>
    </w:p>
    <w:p w14:paraId="74045220" w14:textId="14267968" w:rsidR="009922F8" w:rsidRDefault="009922F8" w:rsidP="009922F8">
      <w:pPr>
        <w:pStyle w:val="Caption"/>
      </w:pPr>
      <w:bookmarkStart w:id="7" w:name="_Ref5954618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667FCB">
        <w:rPr>
          <w:noProof/>
        </w:rPr>
        <w:t>2</w:t>
      </w:r>
      <w:r>
        <w:fldChar w:fldCharType="end"/>
      </w:r>
      <w:r>
        <w:t>: Since some focus has shifted towards the DFF methodology for RRM test cases, it is important to define the vendor declaration of the radiation aperture in 38.508-2.</w:t>
      </w:r>
      <w:bookmarkEnd w:id="7"/>
    </w:p>
    <w:p w14:paraId="11B02736" w14:textId="1E612C6D" w:rsidR="00754C90" w:rsidRDefault="00754C90" w:rsidP="00754C90">
      <w:r>
        <w:t xml:space="preserve">In RAN5#90-e, discussions on </w:t>
      </w:r>
      <w:r w:rsidR="00667FCB">
        <w:t xml:space="preserve">various declaration options were held </w:t>
      </w:r>
      <w:r w:rsidR="00667FCB">
        <w:fldChar w:fldCharType="begin"/>
      </w:r>
      <w:r w:rsidR="00667FCB">
        <w:instrText xml:space="preserve"> REF _Ref71095775 \r \h </w:instrText>
      </w:r>
      <w:r w:rsidR="00667FCB">
        <w:fldChar w:fldCharType="separate"/>
      </w:r>
      <w:r w:rsidR="00667FCB">
        <w:t>[5]</w:t>
      </w:r>
      <w:r w:rsidR="00667FCB">
        <w:fldChar w:fldCharType="end"/>
      </w:r>
      <w:r w:rsidR="00667FCB">
        <w:fldChar w:fldCharType="begin"/>
      </w:r>
      <w:r w:rsidR="00667FCB">
        <w:instrText xml:space="preserve"> REF _Ref71095781 \w \h </w:instrText>
      </w:r>
      <w:r w:rsidR="00667FCB">
        <w:fldChar w:fldCharType="separate"/>
      </w:r>
      <w:r w:rsidR="00667FCB">
        <w:t>[6]</w:t>
      </w:r>
      <w:r w:rsidR="00667FCB">
        <w:fldChar w:fldCharType="end"/>
      </w:r>
      <w:r w:rsidR="00667FCB">
        <w:t xml:space="preserve"> and subsequently an Action Point was created.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54C90" w14:paraId="6BC21EC1" w14:textId="77777777" w:rsidTr="00754C90">
        <w:tc>
          <w:tcPr>
            <w:tcW w:w="9631" w:type="dxa"/>
          </w:tcPr>
          <w:tbl>
            <w:tblPr>
              <w:tblW w:w="9237" w:type="dxa"/>
              <w:tblInd w:w="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7"/>
              <w:gridCol w:w="655"/>
              <w:gridCol w:w="2543"/>
              <w:gridCol w:w="1343"/>
              <w:gridCol w:w="1627"/>
              <w:gridCol w:w="1195"/>
              <w:gridCol w:w="767"/>
            </w:tblGrid>
            <w:tr w:rsidR="00667FCB" w:rsidRPr="00772472" w14:paraId="52205E0F" w14:textId="77777777" w:rsidTr="00667FCB">
              <w:trPr>
                <w:cantSplit/>
                <w:trHeight w:val="256"/>
                <w:tblHeader/>
              </w:trPr>
              <w:tc>
                <w:tcPr>
                  <w:tcW w:w="1107" w:type="dxa"/>
                  <w:shd w:val="clear" w:color="auto" w:fill="E6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AD3FA6" w14:textId="77777777" w:rsidR="00754C90" w:rsidRPr="00772472" w:rsidRDefault="00754C90" w:rsidP="00754C90">
                  <w:pPr>
                    <w:keepNext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247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Action ID</w:t>
                  </w:r>
                </w:p>
              </w:tc>
              <w:tc>
                <w:tcPr>
                  <w:tcW w:w="660" w:type="dxa"/>
                  <w:shd w:val="clear" w:color="auto" w:fill="E6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6F88AF" w14:textId="77777777" w:rsidR="00754C90" w:rsidRPr="00772472" w:rsidRDefault="00754C90" w:rsidP="00754C90">
                  <w:pPr>
                    <w:keepNext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77247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sWG</w:t>
                  </w:r>
                  <w:proofErr w:type="spellEnd"/>
                </w:p>
              </w:tc>
              <w:tc>
                <w:tcPr>
                  <w:tcW w:w="2700" w:type="dxa"/>
                  <w:shd w:val="clear" w:color="auto" w:fill="E6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DBA96C" w14:textId="77777777" w:rsidR="00754C90" w:rsidRPr="00772472" w:rsidRDefault="00754C90" w:rsidP="00754C90">
                  <w:pPr>
                    <w:keepNext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77247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Action</w:t>
                  </w:r>
                </w:p>
              </w:tc>
              <w:tc>
                <w:tcPr>
                  <w:tcW w:w="1350" w:type="dxa"/>
                  <w:shd w:val="clear" w:color="auto" w:fill="E6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FF53DA" w14:textId="77777777" w:rsidR="00754C90" w:rsidRPr="00772472" w:rsidRDefault="00754C90" w:rsidP="00754C90">
                  <w:pPr>
                    <w:keepNext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77247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Responsible</w:t>
                  </w:r>
                </w:p>
              </w:tc>
              <w:tc>
                <w:tcPr>
                  <w:tcW w:w="1710" w:type="dxa"/>
                  <w:shd w:val="clear" w:color="auto" w:fill="E6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408DD7" w14:textId="77777777" w:rsidR="00754C90" w:rsidRPr="00772472" w:rsidRDefault="00754C90" w:rsidP="00754C90">
                  <w:pPr>
                    <w:keepNext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77247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Relevant </w:t>
                  </w:r>
                  <w:proofErr w:type="spellStart"/>
                  <w:r w:rsidRPr="0077247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Tdoc</w:t>
                  </w:r>
                  <w:proofErr w:type="spellEnd"/>
                </w:p>
              </w:tc>
              <w:tc>
                <w:tcPr>
                  <w:tcW w:w="1207" w:type="dxa"/>
                  <w:shd w:val="clear" w:color="auto" w:fill="E6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8E3B0F" w14:textId="77777777" w:rsidR="00754C90" w:rsidRPr="00772472" w:rsidRDefault="00754C90" w:rsidP="00754C90">
                  <w:pPr>
                    <w:keepNext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77247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Deadline</w:t>
                  </w:r>
                </w:p>
              </w:tc>
              <w:tc>
                <w:tcPr>
                  <w:tcW w:w="503" w:type="dxa"/>
                  <w:shd w:val="clear" w:color="auto" w:fill="E6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7C9300" w14:textId="77777777" w:rsidR="00754C90" w:rsidRPr="00772472" w:rsidRDefault="00754C90" w:rsidP="00754C90">
                  <w:pPr>
                    <w:keepNext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77247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Status</w:t>
                  </w:r>
                </w:p>
              </w:tc>
            </w:tr>
            <w:tr w:rsidR="00667FCB" w:rsidRPr="00772472" w14:paraId="28F73F3C" w14:textId="77777777" w:rsidTr="00667FCB">
              <w:trPr>
                <w:cantSplit/>
                <w:trHeight w:val="512"/>
              </w:trPr>
              <w:tc>
                <w:tcPr>
                  <w:tcW w:w="11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C5576A" w14:textId="77777777" w:rsidR="00754C90" w:rsidRPr="00772472" w:rsidRDefault="00754C90" w:rsidP="00754C90">
                  <w:pPr>
                    <w:keepNext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472">
                    <w:rPr>
                      <w:rFonts w:ascii="Arial" w:hAnsi="Arial" w:cs="Arial"/>
                      <w:sz w:val="18"/>
                      <w:szCs w:val="18"/>
                    </w:rPr>
                    <w:t>AP#90e.21</w:t>
                  </w:r>
                </w:p>
              </w:tc>
              <w:tc>
                <w:tcPr>
                  <w:tcW w:w="6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B761EA" w14:textId="77777777" w:rsidR="00754C90" w:rsidRPr="00772472" w:rsidRDefault="00754C90" w:rsidP="00754C90">
                  <w:pPr>
                    <w:keepNext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472">
                    <w:rPr>
                      <w:rFonts w:ascii="Arial" w:hAnsi="Arial" w:cs="Arial"/>
                      <w:sz w:val="18"/>
                      <w:szCs w:val="18"/>
                    </w:rPr>
                    <w:t>RF</w:t>
                  </w:r>
                </w:p>
              </w:tc>
              <w:tc>
                <w:tcPr>
                  <w:tcW w:w="27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3410C5" w14:textId="77777777" w:rsidR="00754C90" w:rsidRPr="00772472" w:rsidRDefault="00754C90" w:rsidP="001E7BB1">
                  <w:pPr>
                    <w:spacing w:after="120"/>
                    <w:rPr>
                      <w:lang w:val="en-US" w:eastAsia="ko-KR"/>
                    </w:rPr>
                  </w:pPr>
                  <w:r w:rsidRPr="00772472">
                    <w:rPr>
                      <w:rFonts w:ascii="Arial" w:hAnsi="Arial" w:cs="Arial"/>
                      <w:sz w:val="18"/>
                      <w:szCs w:val="18"/>
                      <w:lang w:val="en-CA"/>
                    </w:rPr>
                    <w:t xml:space="preserve">Group To provide feedback on which antenna aperture declaration to incorporate in TS38.508-2 for DFF methodology: </w:t>
                  </w:r>
                </w:p>
                <w:p w14:paraId="71742955" w14:textId="77777777" w:rsidR="00754C90" w:rsidRPr="00772472" w:rsidRDefault="00754C90" w:rsidP="001E7BB1">
                  <w:pPr>
                    <w:spacing w:after="120"/>
                  </w:pPr>
                  <w:r w:rsidRPr="00772472">
                    <w:rPr>
                      <w:rFonts w:ascii="Arial" w:hAnsi="Arial" w:cs="Arial"/>
                      <w:sz w:val="18"/>
                      <w:szCs w:val="18"/>
                      <w:lang w:val="en-CA"/>
                    </w:rPr>
                    <w:t>--- Option 1: UE vendor declares the exact maximum radiation aperture of any of the panels integrated in the UE</w:t>
                  </w:r>
                </w:p>
                <w:p w14:paraId="1062A4EF" w14:textId="77777777" w:rsidR="00754C90" w:rsidRPr="00772472" w:rsidRDefault="00754C90" w:rsidP="001E7BB1">
                  <w:pPr>
                    <w:spacing w:after="120"/>
                  </w:pPr>
                  <w:r w:rsidRPr="00772472">
                    <w:rPr>
                      <w:rFonts w:ascii="Arial" w:hAnsi="Arial" w:cs="Arial"/>
                      <w:sz w:val="18"/>
                      <w:szCs w:val="18"/>
                      <w:lang w:val="en-CA"/>
                    </w:rPr>
                    <w:t>--- Option 2: UE vendor declares whether the maximum radiation aperture of any of the panels integrated in the UE is ≤5cm or not</w:t>
                  </w:r>
                </w:p>
                <w:p w14:paraId="335E0C76" w14:textId="77777777" w:rsidR="00754C90" w:rsidRPr="00772472" w:rsidRDefault="00754C90" w:rsidP="001E7BB1">
                  <w:pPr>
                    <w:keepNext/>
                    <w:spacing w:after="120"/>
                    <w:rPr>
                      <w:lang w:val="en-CA"/>
                    </w:rPr>
                  </w:pPr>
                  <w:r w:rsidRPr="00772472">
                    <w:rPr>
                      <w:rFonts w:ascii="Arial" w:hAnsi="Arial" w:cs="Arial"/>
                      <w:sz w:val="18"/>
                      <w:szCs w:val="18"/>
                      <w:lang w:val="en-CA"/>
                    </w:rPr>
                    <w:t>-propose any other option</w:t>
                  </w:r>
                </w:p>
              </w:tc>
              <w:tc>
                <w:tcPr>
                  <w:tcW w:w="13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10E814" w14:textId="77777777" w:rsidR="00754C90" w:rsidRPr="00772472" w:rsidRDefault="00754C90" w:rsidP="00754C90">
                  <w:pPr>
                    <w:keepNext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472">
                    <w:rPr>
                      <w:rFonts w:ascii="Arial" w:hAnsi="Arial" w:cs="Arial"/>
                      <w:sz w:val="18"/>
                      <w:szCs w:val="18"/>
                    </w:rPr>
                    <w:t>Anritsu, Apple, Huawei, KEYS</w:t>
                  </w:r>
                </w:p>
              </w:tc>
              <w:tc>
                <w:tcPr>
                  <w:tcW w:w="17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A41F9B" w14:textId="77777777" w:rsidR="00754C90" w:rsidRPr="00772472" w:rsidRDefault="00754C90" w:rsidP="00754C90">
                  <w:pPr>
                    <w:rPr>
                      <w:lang w:val="en-US" w:eastAsia="ko-KR"/>
                    </w:rPr>
                  </w:pPr>
                  <w:r w:rsidRPr="00772472">
                    <w:rPr>
                      <w:rFonts w:ascii="Arial" w:hAnsi="Arial" w:cs="Arial"/>
                      <w:sz w:val="18"/>
                      <w:szCs w:val="18"/>
                    </w:rPr>
                    <w:t>R5-210839</w:t>
                  </w:r>
                </w:p>
                <w:p w14:paraId="745D5D10" w14:textId="77777777" w:rsidR="00754C90" w:rsidRPr="00772472" w:rsidRDefault="00754C90" w:rsidP="00754C90">
                  <w:pPr>
                    <w:keepNext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472">
                    <w:rPr>
                      <w:rFonts w:ascii="Arial" w:hAnsi="Arial" w:cs="Arial"/>
                      <w:sz w:val="18"/>
                      <w:szCs w:val="18"/>
                    </w:rPr>
                    <w:t>R5-211194</w:t>
                  </w:r>
                </w:p>
              </w:tc>
              <w:tc>
                <w:tcPr>
                  <w:tcW w:w="12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C83443" w14:textId="77777777" w:rsidR="00754C90" w:rsidRPr="00772472" w:rsidRDefault="00754C90" w:rsidP="00754C90">
                  <w:pPr>
                    <w:keepNext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472">
                    <w:rPr>
                      <w:rFonts w:ascii="Arial" w:hAnsi="Arial" w:cs="Arial"/>
                      <w:sz w:val="18"/>
                      <w:szCs w:val="18"/>
                    </w:rPr>
                    <w:t>RAN5#91e</w:t>
                  </w:r>
                </w:p>
              </w:tc>
              <w:tc>
                <w:tcPr>
                  <w:tcW w:w="50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89B525" w14:textId="77777777" w:rsidR="00754C90" w:rsidRPr="00772472" w:rsidRDefault="00754C90" w:rsidP="00754C90">
                  <w:pPr>
                    <w:keepNext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77247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Open</w:t>
                  </w:r>
                </w:p>
              </w:tc>
            </w:tr>
          </w:tbl>
          <w:p w14:paraId="1B5A2174" w14:textId="77777777" w:rsidR="00754C90" w:rsidRDefault="00754C90" w:rsidP="00754C90"/>
        </w:tc>
      </w:tr>
    </w:tbl>
    <w:p w14:paraId="253C1A85" w14:textId="50577EB6" w:rsidR="00132A6E" w:rsidRDefault="00667FCB" w:rsidP="00F46E30">
      <w:r>
        <w:t xml:space="preserve">Option 1 would allow </w:t>
      </w:r>
      <w:r w:rsidR="009922F8">
        <w:t xml:space="preserve">UE vendors </w:t>
      </w:r>
      <w:r w:rsidR="00633E88">
        <w:t xml:space="preserve">to </w:t>
      </w:r>
      <w:r w:rsidR="009922F8">
        <w:t>declare the actual antenna aperture of the largest antenna panel integrated in the UE</w:t>
      </w:r>
      <w:r w:rsidR="00633E88">
        <w:t>. In the past</w:t>
      </w:r>
      <w:r w:rsidR="009922F8">
        <w:t xml:space="preserve">, </w:t>
      </w:r>
      <w:r w:rsidR="0079399F">
        <w:t xml:space="preserve">UE vendors have been reluctant to declare </w:t>
      </w:r>
      <w:r w:rsidR="009922F8">
        <w:t xml:space="preserve">detailed antenna information </w:t>
      </w:r>
      <w:r w:rsidR="0079399F">
        <w:t xml:space="preserve">which led to the adoption of the black-box instead of the white-box approach in RAN4. </w:t>
      </w:r>
      <w:r w:rsidR="00633E88">
        <w:t xml:space="preserve">Allowing vendors to declare that actual apertures or select a maximum supported aperture (Option 3 discussed during RAN5#90-e), e.g., </w:t>
      </w:r>
      <w:r w:rsidR="00633E88" w:rsidRPr="009A391D">
        <w:rPr>
          <w:i/>
          <w:iCs/>
        </w:rPr>
        <w:t>D</w:t>
      </w:r>
      <w:r w:rsidR="00633E88">
        <w:t xml:space="preserve"> ≤ 2.5cm, </w:t>
      </w:r>
      <w:r w:rsidR="00633E88" w:rsidRPr="009A391D">
        <w:rPr>
          <w:i/>
          <w:iCs/>
        </w:rPr>
        <w:t>D</w:t>
      </w:r>
      <w:r w:rsidR="00633E88">
        <w:t xml:space="preserve"> ≤ 3.5cm, </w:t>
      </w:r>
      <w:r w:rsidR="00633E88" w:rsidRPr="009A391D">
        <w:rPr>
          <w:i/>
          <w:iCs/>
        </w:rPr>
        <w:t>D</w:t>
      </w:r>
      <w:r w:rsidR="00633E88">
        <w:t xml:space="preserve"> ≤ 4cm, </w:t>
      </w:r>
      <w:r w:rsidR="00633E88" w:rsidRPr="009A391D">
        <w:rPr>
          <w:i/>
          <w:iCs/>
        </w:rPr>
        <w:t>D</w:t>
      </w:r>
      <w:r w:rsidR="00633E88">
        <w:t xml:space="preserve"> ≤ 4.5cm, etc., could allow system vendors to design systems with smaller footprint. For labs, the approach will lead to limited applicability of devices, i.e., labs can only support a limited subset of PC3 devices and would have to decline business for a certain set of devices. </w:t>
      </w:r>
      <w:r w:rsidR="00333C25">
        <w:t>S</w:t>
      </w:r>
      <w:r w:rsidR="00624C6C">
        <w:t xml:space="preserve">ystems with smaller range lengths were shown to have worse QoQZ MU results as tabulated in </w:t>
      </w:r>
      <w:r w:rsidR="00624C6C">
        <w:fldChar w:fldCharType="begin"/>
      </w:r>
      <w:r w:rsidR="00624C6C">
        <w:instrText xml:space="preserve"> REF _Ref70949185 \h </w:instrText>
      </w:r>
      <w:r w:rsidR="00624C6C">
        <w:fldChar w:fldCharType="separate"/>
      </w:r>
      <w:r>
        <w:t xml:space="preserve">Table </w:t>
      </w:r>
      <w:r>
        <w:rPr>
          <w:noProof/>
        </w:rPr>
        <w:t>2</w:t>
      </w:r>
      <w:r w:rsidR="00624C6C">
        <w:fldChar w:fldCharType="end"/>
      </w:r>
      <w:r w:rsidR="00333C25">
        <w:t xml:space="preserve">, i.e., the assessed MUs of systems designed for a subset of </w:t>
      </w:r>
      <w:r w:rsidR="00333C25" w:rsidRPr="009A391D">
        <w:rPr>
          <w:i/>
          <w:iCs/>
        </w:rPr>
        <w:t>D</w:t>
      </w:r>
      <w:r w:rsidR="00333C25">
        <w:t xml:space="preserve"> ≤ 5cm </w:t>
      </w:r>
      <w:r w:rsidR="00704E13">
        <w:t xml:space="preserve">apertures will generally yield higher MUs which is rather undesirable. More importantly, deploying such smaller systems with larger QoQZ MU while meeting existing MTSU limits, could prevent MU evolution </w:t>
      </w:r>
      <w:r w:rsidR="001E7BB1">
        <w:fldChar w:fldCharType="begin"/>
      </w:r>
      <w:r w:rsidR="001E7BB1">
        <w:instrText xml:space="preserve"> REF _Ref71098252 \w \h </w:instrText>
      </w:r>
      <w:r w:rsidR="001E7BB1">
        <w:fldChar w:fldCharType="separate"/>
      </w:r>
      <w:r w:rsidR="001E7BB1">
        <w:t>[7]</w:t>
      </w:r>
      <w:r w:rsidR="001E7BB1">
        <w:fldChar w:fldCharType="end"/>
      </w:r>
      <w:r w:rsidR="001E7BB1">
        <w:t xml:space="preserve"> </w:t>
      </w:r>
      <w:r w:rsidR="00704E13">
        <w:t>as vendors might be hesitant to agree to smaller/evolved MTSU.</w:t>
      </w:r>
    </w:p>
    <w:p w14:paraId="17ABEDAF" w14:textId="64B2DBBD" w:rsidR="00624C6C" w:rsidRDefault="00624C6C" w:rsidP="00624C6C">
      <w:pPr>
        <w:pStyle w:val="Caption"/>
        <w:jc w:val="center"/>
      </w:pPr>
      <w:bookmarkStart w:id="8" w:name="_Ref709491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67FCB">
        <w:rPr>
          <w:noProof/>
        </w:rPr>
        <w:t>2</w:t>
      </w:r>
      <w:r>
        <w:fldChar w:fldCharType="end"/>
      </w:r>
      <w:bookmarkEnd w:id="8"/>
      <w:r>
        <w:t>: Overview of DFF QoQZ MU for different range lengths</w:t>
      </w:r>
    </w:p>
    <w:tbl>
      <w:tblPr>
        <w:tblStyle w:val="GridTable1Light"/>
        <w:tblW w:w="6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1726"/>
        <w:gridCol w:w="857"/>
        <w:gridCol w:w="857"/>
        <w:gridCol w:w="857"/>
        <w:gridCol w:w="1296"/>
      </w:tblGrid>
      <w:tr w:rsidR="00624C6C" w:rsidRPr="00624C6C" w14:paraId="1C010BEA" w14:textId="77777777" w:rsidTr="00333C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  <w:tcBorders>
              <w:bottom w:val="none" w:sz="0" w:space="0" w:color="auto"/>
            </w:tcBorders>
            <w:vAlign w:val="center"/>
            <w:hideMark/>
          </w:tcPr>
          <w:p w14:paraId="39CA1E8D" w14:textId="77777777" w:rsidR="00624C6C" w:rsidRPr="00624C6C" w:rsidRDefault="00624C6C" w:rsidP="00624C6C">
            <w:pPr>
              <w:jc w:val="center"/>
              <w:rPr>
                <w:sz w:val="22"/>
                <w:szCs w:val="22"/>
                <w:lang w:val="en-US"/>
              </w:rPr>
            </w:pPr>
            <w:r w:rsidRPr="00624C6C">
              <w:rPr>
                <w:b w:val="0"/>
                <w:bCs w:val="0"/>
                <w:sz w:val="22"/>
                <w:szCs w:val="22"/>
              </w:rPr>
              <w:t>TE Vendor</w:t>
            </w:r>
          </w:p>
        </w:tc>
        <w:tc>
          <w:tcPr>
            <w:tcW w:w="1726" w:type="dxa"/>
            <w:tcBorders>
              <w:bottom w:val="none" w:sz="0" w:space="0" w:color="auto"/>
            </w:tcBorders>
            <w:hideMark/>
          </w:tcPr>
          <w:p w14:paraId="1A02E81C" w14:textId="62B7A8AE" w:rsidR="00624C6C" w:rsidRPr="00624C6C" w:rsidRDefault="00624C6C" w:rsidP="00230F1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624C6C">
              <w:rPr>
                <w:b w:val="0"/>
                <w:bCs w:val="0"/>
                <w:sz w:val="22"/>
                <w:szCs w:val="22"/>
              </w:rPr>
              <w:t>Frequency</w:t>
            </w:r>
            <w:r>
              <w:rPr>
                <w:b w:val="0"/>
                <w:bCs w:val="0"/>
                <w:sz w:val="22"/>
                <w:szCs w:val="22"/>
              </w:rPr>
              <w:t xml:space="preserve"> [GHz] 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►►</w:t>
            </w:r>
          </w:p>
        </w:tc>
        <w:tc>
          <w:tcPr>
            <w:tcW w:w="857" w:type="dxa"/>
            <w:tcBorders>
              <w:bottom w:val="none" w:sz="0" w:space="0" w:color="auto"/>
            </w:tcBorders>
            <w:vAlign w:val="center"/>
            <w:hideMark/>
          </w:tcPr>
          <w:p w14:paraId="7C8F2853" w14:textId="6D2B3DFA" w:rsidR="00624C6C" w:rsidRPr="00624C6C" w:rsidRDefault="00624C6C" w:rsidP="00624C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624C6C">
              <w:rPr>
                <w:b w:val="0"/>
                <w:bCs w:val="0"/>
                <w:sz w:val="22"/>
                <w:szCs w:val="22"/>
              </w:rPr>
              <w:t>23.450</w:t>
            </w:r>
          </w:p>
        </w:tc>
        <w:tc>
          <w:tcPr>
            <w:tcW w:w="857" w:type="dxa"/>
            <w:tcBorders>
              <w:bottom w:val="none" w:sz="0" w:space="0" w:color="auto"/>
            </w:tcBorders>
            <w:vAlign w:val="center"/>
            <w:hideMark/>
          </w:tcPr>
          <w:p w14:paraId="1B0AF429" w14:textId="2EF59310" w:rsidR="00624C6C" w:rsidRPr="00624C6C" w:rsidRDefault="00624C6C" w:rsidP="00624C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624C6C">
              <w:rPr>
                <w:b w:val="0"/>
                <w:bCs w:val="0"/>
                <w:sz w:val="22"/>
                <w:szCs w:val="22"/>
              </w:rPr>
              <w:t>32.125</w:t>
            </w:r>
          </w:p>
        </w:tc>
        <w:tc>
          <w:tcPr>
            <w:tcW w:w="857" w:type="dxa"/>
            <w:tcBorders>
              <w:bottom w:val="none" w:sz="0" w:space="0" w:color="auto"/>
            </w:tcBorders>
            <w:vAlign w:val="center"/>
            <w:hideMark/>
          </w:tcPr>
          <w:p w14:paraId="0E45940D" w14:textId="1E178E61" w:rsidR="00624C6C" w:rsidRPr="00624C6C" w:rsidRDefault="00624C6C" w:rsidP="00624C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624C6C">
              <w:rPr>
                <w:b w:val="0"/>
                <w:bCs w:val="0"/>
                <w:sz w:val="22"/>
                <w:szCs w:val="22"/>
              </w:rPr>
              <w:t>40.800</w:t>
            </w:r>
          </w:p>
        </w:tc>
        <w:tc>
          <w:tcPr>
            <w:tcW w:w="1296" w:type="dxa"/>
            <w:tcBorders>
              <w:bottom w:val="none" w:sz="0" w:space="0" w:color="auto"/>
            </w:tcBorders>
            <w:hideMark/>
          </w:tcPr>
          <w:p w14:paraId="1E4D7152" w14:textId="77777777" w:rsidR="00624C6C" w:rsidRPr="00624C6C" w:rsidRDefault="00624C6C" w:rsidP="00230F1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624C6C">
              <w:rPr>
                <w:b w:val="0"/>
                <w:bCs w:val="0"/>
                <w:sz w:val="22"/>
                <w:szCs w:val="22"/>
              </w:rPr>
              <w:t>Range Length [m]</w:t>
            </w:r>
          </w:p>
        </w:tc>
      </w:tr>
      <w:tr w:rsidR="00624C6C" w:rsidRPr="00624C6C" w14:paraId="19619BA7" w14:textId="77777777" w:rsidTr="00333C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  <w:vMerge w:val="restart"/>
            <w:hideMark/>
          </w:tcPr>
          <w:p w14:paraId="6F32E187" w14:textId="77777777" w:rsidR="00624C6C" w:rsidRPr="00624C6C" w:rsidRDefault="00624C6C" w:rsidP="00230F15">
            <w:pPr>
              <w:rPr>
                <w:b w:val="0"/>
                <w:bCs w:val="0"/>
                <w:sz w:val="22"/>
                <w:szCs w:val="22"/>
              </w:rPr>
            </w:pPr>
            <w:r w:rsidRPr="00624C6C">
              <w:rPr>
                <w:b w:val="0"/>
                <w:bCs w:val="0"/>
                <w:sz w:val="22"/>
                <w:szCs w:val="22"/>
              </w:rPr>
              <w:t>Vendor A</w:t>
            </w:r>
          </w:p>
          <w:p w14:paraId="0E02E9DD" w14:textId="22DC1F02" w:rsidR="00624C6C" w:rsidRPr="00624C6C" w:rsidRDefault="00CD3B53" w:rsidP="00230F15">
            <w:pPr>
              <w:rPr>
                <w:sz w:val="22"/>
                <w:szCs w:val="22"/>
              </w:rPr>
            </w:pPr>
            <w:hyperlink r:id="rId12" w:history="1">
              <w:r w:rsidR="00624C6C" w:rsidRPr="00624C6C">
                <w:rPr>
                  <w:rStyle w:val="Hyperlink"/>
                  <w:b w:val="0"/>
                  <w:bCs w:val="0"/>
                  <w:color w:val="auto"/>
                  <w:sz w:val="22"/>
                  <w:szCs w:val="22"/>
                </w:rPr>
                <w:t>R5-206167</w:t>
              </w:r>
            </w:hyperlink>
          </w:p>
        </w:tc>
        <w:tc>
          <w:tcPr>
            <w:tcW w:w="1726" w:type="dxa"/>
            <w:hideMark/>
          </w:tcPr>
          <w:p w14:paraId="20D27377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P1-P7</w:t>
            </w:r>
          </w:p>
        </w:tc>
        <w:tc>
          <w:tcPr>
            <w:tcW w:w="857" w:type="dxa"/>
            <w:hideMark/>
          </w:tcPr>
          <w:p w14:paraId="44A46E34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1.34</w:t>
            </w:r>
          </w:p>
        </w:tc>
        <w:tc>
          <w:tcPr>
            <w:tcW w:w="857" w:type="dxa"/>
            <w:hideMark/>
          </w:tcPr>
          <w:p w14:paraId="73248FCA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1.37</w:t>
            </w:r>
          </w:p>
        </w:tc>
        <w:tc>
          <w:tcPr>
            <w:tcW w:w="857" w:type="dxa"/>
            <w:hideMark/>
          </w:tcPr>
          <w:p w14:paraId="5CAD1C7C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1.37</w:t>
            </w:r>
          </w:p>
        </w:tc>
        <w:tc>
          <w:tcPr>
            <w:tcW w:w="1296" w:type="dxa"/>
            <w:hideMark/>
          </w:tcPr>
          <w:p w14:paraId="782AB4A8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0.65</w:t>
            </w:r>
          </w:p>
        </w:tc>
      </w:tr>
      <w:tr w:rsidR="00624C6C" w:rsidRPr="00624C6C" w14:paraId="7C6EFFF2" w14:textId="77777777" w:rsidTr="00333C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  <w:vMerge/>
            <w:hideMark/>
          </w:tcPr>
          <w:p w14:paraId="509D0AA4" w14:textId="77777777" w:rsidR="00624C6C" w:rsidRPr="00624C6C" w:rsidRDefault="00624C6C" w:rsidP="00230F15">
            <w:pPr>
              <w:rPr>
                <w:rFonts w:eastAsia="SimSun"/>
                <w:sz w:val="22"/>
                <w:szCs w:val="22"/>
              </w:rPr>
            </w:pPr>
          </w:p>
        </w:tc>
        <w:tc>
          <w:tcPr>
            <w:tcW w:w="1726" w:type="dxa"/>
            <w:hideMark/>
          </w:tcPr>
          <w:p w14:paraId="33AE1F87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P1 only</w:t>
            </w:r>
          </w:p>
        </w:tc>
        <w:tc>
          <w:tcPr>
            <w:tcW w:w="857" w:type="dxa"/>
            <w:hideMark/>
          </w:tcPr>
          <w:p w14:paraId="39FC51BD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0.30</w:t>
            </w:r>
          </w:p>
        </w:tc>
        <w:tc>
          <w:tcPr>
            <w:tcW w:w="857" w:type="dxa"/>
            <w:hideMark/>
          </w:tcPr>
          <w:p w14:paraId="1FD89561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0.17</w:t>
            </w:r>
          </w:p>
        </w:tc>
        <w:tc>
          <w:tcPr>
            <w:tcW w:w="857" w:type="dxa"/>
            <w:hideMark/>
          </w:tcPr>
          <w:p w14:paraId="52E77C49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0.25</w:t>
            </w:r>
          </w:p>
        </w:tc>
        <w:tc>
          <w:tcPr>
            <w:tcW w:w="1296" w:type="dxa"/>
            <w:hideMark/>
          </w:tcPr>
          <w:p w14:paraId="1597D264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0.65</w:t>
            </w:r>
          </w:p>
        </w:tc>
      </w:tr>
      <w:tr w:rsidR="00624C6C" w:rsidRPr="00624C6C" w14:paraId="6AFB4A66" w14:textId="77777777" w:rsidTr="00333C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  <w:vMerge w:val="restart"/>
          </w:tcPr>
          <w:p w14:paraId="495DDAE7" w14:textId="77777777" w:rsidR="00624C6C" w:rsidRPr="00624C6C" w:rsidRDefault="00624C6C" w:rsidP="00230F15">
            <w:pPr>
              <w:rPr>
                <w:b w:val="0"/>
                <w:bCs w:val="0"/>
                <w:sz w:val="22"/>
                <w:szCs w:val="22"/>
              </w:rPr>
            </w:pPr>
            <w:r w:rsidRPr="00624C6C">
              <w:rPr>
                <w:b w:val="0"/>
                <w:bCs w:val="0"/>
                <w:sz w:val="22"/>
                <w:szCs w:val="22"/>
              </w:rPr>
              <w:t>Vendor A</w:t>
            </w:r>
          </w:p>
          <w:p w14:paraId="30A3B0A7" w14:textId="719E65E4" w:rsidR="00624C6C" w:rsidRPr="00624C6C" w:rsidRDefault="00CD3B53" w:rsidP="00230F15">
            <w:pPr>
              <w:rPr>
                <w:rFonts w:eastAsia="SimSun"/>
                <w:b w:val="0"/>
                <w:bCs w:val="0"/>
                <w:sz w:val="22"/>
                <w:szCs w:val="22"/>
              </w:rPr>
            </w:pPr>
            <w:hyperlink r:id="rId13" w:history="1">
              <w:r w:rsidR="00624C6C" w:rsidRPr="00624C6C">
                <w:rPr>
                  <w:rStyle w:val="Hyperlink"/>
                  <w:b w:val="0"/>
                  <w:bCs w:val="0"/>
                  <w:color w:val="auto"/>
                  <w:sz w:val="22"/>
                  <w:szCs w:val="22"/>
                </w:rPr>
                <w:t>R5-210840</w:t>
              </w:r>
            </w:hyperlink>
          </w:p>
        </w:tc>
        <w:tc>
          <w:tcPr>
            <w:tcW w:w="1726" w:type="dxa"/>
          </w:tcPr>
          <w:p w14:paraId="12BCBD41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P1-P7</w:t>
            </w:r>
          </w:p>
        </w:tc>
        <w:tc>
          <w:tcPr>
            <w:tcW w:w="857" w:type="dxa"/>
          </w:tcPr>
          <w:p w14:paraId="6DB51E22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1.10</w:t>
            </w:r>
          </w:p>
        </w:tc>
        <w:tc>
          <w:tcPr>
            <w:tcW w:w="857" w:type="dxa"/>
          </w:tcPr>
          <w:p w14:paraId="5851EF0B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1.13</w:t>
            </w:r>
          </w:p>
        </w:tc>
        <w:tc>
          <w:tcPr>
            <w:tcW w:w="857" w:type="dxa"/>
          </w:tcPr>
          <w:p w14:paraId="5A4C5A07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1.05</w:t>
            </w:r>
          </w:p>
        </w:tc>
        <w:tc>
          <w:tcPr>
            <w:tcW w:w="1296" w:type="dxa"/>
          </w:tcPr>
          <w:p w14:paraId="3E26A100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0.94</w:t>
            </w:r>
          </w:p>
        </w:tc>
      </w:tr>
      <w:tr w:rsidR="00624C6C" w:rsidRPr="00624C6C" w14:paraId="5EB084CE" w14:textId="77777777" w:rsidTr="00333C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  <w:vMerge/>
          </w:tcPr>
          <w:p w14:paraId="45621D3F" w14:textId="77777777" w:rsidR="00624C6C" w:rsidRPr="00624C6C" w:rsidRDefault="00624C6C" w:rsidP="00230F15">
            <w:pPr>
              <w:rPr>
                <w:rFonts w:eastAsia="SimSu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26" w:type="dxa"/>
          </w:tcPr>
          <w:p w14:paraId="6008CCD5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P1 only</w:t>
            </w:r>
          </w:p>
        </w:tc>
        <w:tc>
          <w:tcPr>
            <w:tcW w:w="857" w:type="dxa"/>
          </w:tcPr>
          <w:p w14:paraId="4CA6E424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0.34</w:t>
            </w:r>
          </w:p>
        </w:tc>
        <w:tc>
          <w:tcPr>
            <w:tcW w:w="857" w:type="dxa"/>
          </w:tcPr>
          <w:p w14:paraId="398B0DF9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0.32</w:t>
            </w:r>
          </w:p>
        </w:tc>
        <w:tc>
          <w:tcPr>
            <w:tcW w:w="857" w:type="dxa"/>
          </w:tcPr>
          <w:p w14:paraId="26A3DB95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0.32</w:t>
            </w:r>
          </w:p>
        </w:tc>
        <w:tc>
          <w:tcPr>
            <w:tcW w:w="1296" w:type="dxa"/>
          </w:tcPr>
          <w:p w14:paraId="772B9999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0.94</w:t>
            </w:r>
          </w:p>
        </w:tc>
      </w:tr>
      <w:tr w:rsidR="00624C6C" w:rsidRPr="00624C6C" w14:paraId="1EA42FA8" w14:textId="77777777" w:rsidTr="00333C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  <w:vMerge w:val="restart"/>
            <w:hideMark/>
          </w:tcPr>
          <w:p w14:paraId="34E3C75A" w14:textId="77777777" w:rsidR="00624C6C" w:rsidRPr="00624C6C" w:rsidRDefault="00624C6C" w:rsidP="00230F15">
            <w:pPr>
              <w:rPr>
                <w:sz w:val="22"/>
                <w:szCs w:val="22"/>
              </w:rPr>
            </w:pPr>
            <w:r w:rsidRPr="00624C6C">
              <w:rPr>
                <w:b w:val="0"/>
                <w:bCs w:val="0"/>
                <w:sz w:val="22"/>
                <w:szCs w:val="22"/>
              </w:rPr>
              <w:t>Vendor B</w:t>
            </w:r>
          </w:p>
          <w:p w14:paraId="21638C7B" w14:textId="64B7D7AF" w:rsidR="00624C6C" w:rsidRPr="00624C6C" w:rsidRDefault="00CD3B53" w:rsidP="00230F15">
            <w:pPr>
              <w:rPr>
                <w:sz w:val="22"/>
                <w:szCs w:val="22"/>
              </w:rPr>
            </w:pPr>
            <w:hyperlink r:id="rId14" w:history="1">
              <w:r w:rsidR="00624C6C" w:rsidRPr="00624C6C">
                <w:rPr>
                  <w:rStyle w:val="Hyperlink"/>
                  <w:b w:val="0"/>
                  <w:bCs w:val="0"/>
                  <w:color w:val="auto"/>
                  <w:sz w:val="22"/>
                  <w:szCs w:val="22"/>
                </w:rPr>
                <w:t>R5-206075</w:t>
              </w:r>
            </w:hyperlink>
          </w:p>
        </w:tc>
        <w:tc>
          <w:tcPr>
            <w:tcW w:w="1726" w:type="dxa"/>
            <w:hideMark/>
          </w:tcPr>
          <w:p w14:paraId="03111AC9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P1-P7</w:t>
            </w:r>
          </w:p>
        </w:tc>
        <w:tc>
          <w:tcPr>
            <w:tcW w:w="857" w:type="dxa"/>
            <w:hideMark/>
          </w:tcPr>
          <w:p w14:paraId="423D4B2A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0.79</w:t>
            </w:r>
          </w:p>
        </w:tc>
        <w:tc>
          <w:tcPr>
            <w:tcW w:w="857" w:type="dxa"/>
            <w:hideMark/>
          </w:tcPr>
          <w:p w14:paraId="4479624D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0.87</w:t>
            </w:r>
          </w:p>
        </w:tc>
        <w:tc>
          <w:tcPr>
            <w:tcW w:w="857" w:type="dxa"/>
            <w:hideMark/>
          </w:tcPr>
          <w:p w14:paraId="7FBCFEDB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0.99</w:t>
            </w:r>
          </w:p>
        </w:tc>
        <w:tc>
          <w:tcPr>
            <w:tcW w:w="1296" w:type="dxa"/>
            <w:hideMark/>
          </w:tcPr>
          <w:p w14:paraId="108A246D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1.05</w:t>
            </w:r>
          </w:p>
        </w:tc>
      </w:tr>
      <w:tr w:rsidR="00624C6C" w:rsidRPr="00624C6C" w14:paraId="4E0EF1F8" w14:textId="77777777" w:rsidTr="00333C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  <w:vMerge/>
            <w:hideMark/>
          </w:tcPr>
          <w:p w14:paraId="1BC51381" w14:textId="77777777" w:rsidR="00624C6C" w:rsidRPr="00624C6C" w:rsidRDefault="00624C6C" w:rsidP="00230F15">
            <w:pPr>
              <w:rPr>
                <w:rFonts w:eastAsia="SimSun"/>
                <w:sz w:val="22"/>
                <w:szCs w:val="22"/>
              </w:rPr>
            </w:pPr>
          </w:p>
        </w:tc>
        <w:tc>
          <w:tcPr>
            <w:tcW w:w="1726" w:type="dxa"/>
            <w:hideMark/>
          </w:tcPr>
          <w:p w14:paraId="7289FCAC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P1 only</w:t>
            </w:r>
          </w:p>
        </w:tc>
        <w:tc>
          <w:tcPr>
            <w:tcW w:w="857" w:type="dxa"/>
            <w:hideMark/>
          </w:tcPr>
          <w:p w14:paraId="32AF5742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0.20</w:t>
            </w:r>
          </w:p>
        </w:tc>
        <w:tc>
          <w:tcPr>
            <w:tcW w:w="857" w:type="dxa"/>
            <w:hideMark/>
          </w:tcPr>
          <w:p w14:paraId="0BB353B9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0.07</w:t>
            </w:r>
          </w:p>
        </w:tc>
        <w:tc>
          <w:tcPr>
            <w:tcW w:w="857" w:type="dxa"/>
            <w:hideMark/>
          </w:tcPr>
          <w:p w14:paraId="799FA463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0.13</w:t>
            </w:r>
          </w:p>
        </w:tc>
        <w:tc>
          <w:tcPr>
            <w:tcW w:w="1296" w:type="dxa"/>
            <w:hideMark/>
          </w:tcPr>
          <w:p w14:paraId="7C727567" w14:textId="77777777" w:rsidR="00624C6C" w:rsidRPr="00624C6C" w:rsidRDefault="00624C6C" w:rsidP="00230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624C6C">
              <w:rPr>
                <w:sz w:val="22"/>
                <w:szCs w:val="22"/>
              </w:rPr>
              <w:t>1.05</w:t>
            </w:r>
          </w:p>
        </w:tc>
      </w:tr>
    </w:tbl>
    <w:p w14:paraId="34FB8225" w14:textId="77777777" w:rsidR="00633E88" w:rsidRDefault="00633E88" w:rsidP="00633E88"/>
    <w:p w14:paraId="6BFADE0A" w14:textId="268C9D3A" w:rsidR="00633E88" w:rsidRDefault="00633E88" w:rsidP="00633E88">
      <w:r>
        <w:lastRenderedPageBreak/>
        <w:t xml:space="preserve">The alternate vendor declaration (Option 2) would prevent UE vendors from declaring detailed antenna panel information and allow a rather simple declaration </w:t>
      </w:r>
      <w:proofErr w:type="gramStart"/>
      <w:r>
        <w:t>whether or not</w:t>
      </w:r>
      <w:proofErr w:type="gramEnd"/>
      <w:r>
        <w:t xml:space="preserve"> the antenna aperture </w:t>
      </w:r>
      <w:r w:rsidRPr="00C77017">
        <w:rPr>
          <w:i/>
          <w:iCs/>
        </w:rPr>
        <w:t>D</w:t>
      </w:r>
      <w:r>
        <w:t xml:space="preserve"> </w:t>
      </w:r>
      <w:r w:rsidRPr="00C77017">
        <w:t xml:space="preserve">is </w:t>
      </w:r>
      <w:r w:rsidRPr="00C77017">
        <w:rPr>
          <w:rFonts w:eastAsia="Yu Mincho"/>
          <w:lang w:eastAsia="ja-JP"/>
        </w:rPr>
        <w:t xml:space="preserve">≤ </w:t>
      </w:r>
      <w:r w:rsidRPr="00C77017">
        <w:t>5cm</w:t>
      </w:r>
      <w:r>
        <w:t xml:space="preserve"> or not. The benefit of this approach is that it would be aligned with the PC3 definitions of the DUT antenna configuration limits and the applicability definition of DFF in </w:t>
      </w:r>
      <w:r>
        <w:fldChar w:fldCharType="begin"/>
      </w:r>
      <w:r>
        <w:instrText xml:space="preserve"> REF _Ref59535264 \w \h </w:instrText>
      </w:r>
      <w:r>
        <w:fldChar w:fldCharType="separate"/>
      </w:r>
      <w:r>
        <w:t>[1]</w:t>
      </w:r>
      <w:r>
        <w:fldChar w:fldCharType="end"/>
      </w:r>
      <w:r>
        <w:t xml:space="preserve">. Additionally, it might not be entirely clear how the antenna aperture is defined by OEMs. More importantly, this approach would be better suited for MU evolution purposes as </w:t>
      </w:r>
      <w:r w:rsidR="00762B59">
        <w:t xml:space="preserve">the lack of </w:t>
      </w:r>
      <w:r>
        <w:t>systems with smaller range lengths and larger QoQZ MU</w:t>
      </w:r>
      <w:r w:rsidR="00342788">
        <w:t xml:space="preserve"> </w:t>
      </w:r>
      <w:r w:rsidR="00762B59">
        <w:t>could</w:t>
      </w:r>
      <w:r w:rsidR="00342788">
        <w:t xml:space="preserve"> </w:t>
      </w:r>
      <w:r w:rsidR="00762B59">
        <w:t>allow</w:t>
      </w:r>
      <w:r w:rsidR="00342788">
        <w:t xml:space="preserve"> vendors </w:t>
      </w:r>
      <w:r w:rsidR="00762B59">
        <w:t xml:space="preserve">to </w:t>
      </w:r>
      <w:proofErr w:type="gramStart"/>
      <w:r w:rsidR="00762B59">
        <w:t xml:space="preserve">more readily </w:t>
      </w:r>
      <w:r w:rsidR="00342788">
        <w:t>agree</w:t>
      </w:r>
      <w:proofErr w:type="gramEnd"/>
      <w:r w:rsidR="00342788">
        <w:t xml:space="preserve"> to evolved MUs/MTSUs. </w:t>
      </w:r>
    </w:p>
    <w:p w14:paraId="2E65932F" w14:textId="09D859B7" w:rsidR="00624C6C" w:rsidRDefault="0057110F" w:rsidP="00624C6C">
      <w:r>
        <w:t xml:space="preserve">Some of the pros and cons of these approaches are summarized in </w:t>
      </w:r>
      <w:r>
        <w:fldChar w:fldCharType="begin"/>
      </w:r>
      <w:r>
        <w:instrText xml:space="preserve"> REF _Ref70951819 \h </w:instrText>
      </w:r>
      <w:r>
        <w:fldChar w:fldCharType="separate"/>
      </w:r>
      <w:r w:rsidR="00667FCB">
        <w:t xml:space="preserve">Table </w:t>
      </w:r>
      <w:r w:rsidR="00667FCB">
        <w:rPr>
          <w:noProof/>
        </w:rPr>
        <w:t>3</w:t>
      </w:r>
      <w:r>
        <w:fldChar w:fldCharType="end"/>
      </w:r>
      <w:r>
        <w:t xml:space="preserve">. </w:t>
      </w:r>
    </w:p>
    <w:p w14:paraId="0DD8F6FE" w14:textId="1BD1AE1C" w:rsidR="00704E13" w:rsidRDefault="00704E13" w:rsidP="00704E13">
      <w:pPr>
        <w:pStyle w:val="Caption"/>
        <w:jc w:val="center"/>
      </w:pPr>
      <w:bookmarkStart w:id="9" w:name="_Ref70951819"/>
      <w:bookmarkStart w:id="10" w:name="_Hlk710996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67FCB">
        <w:rPr>
          <w:noProof/>
        </w:rPr>
        <w:t>3</w:t>
      </w:r>
      <w:r>
        <w:fldChar w:fldCharType="end"/>
      </w:r>
      <w:bookmarkEnd w:id="9"/>
      <w:r>
        <w:t>: Overview of Pros and Cons</w:t>
      </w:r>
      <w:r w:rsidR="00943B0F">
        <w:t xml:space="preserve"> of the various declaration options</w:t>
      </w:r>
    </w:p>
    <w:tbl>
      <w:tblPr>
        <w:tblStyle w:val="GridTable1Light"/>
        <w:tblW w:w="8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3195"/>
        <w:gridCol w:w="3195"/>
      </w:tblGrid>
      <w:tr w:rsidR="00943B0F" w:rsidRPr="00770AC0" w14:paraId="624E7764" w14:textId="77777777" w:rsidTr="00943B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vAlign w:val="center"/>
            <w:hideMark/>
          </w:tcPr>
          <w:p w14:paraId="46B58C34" w14:textId="1E0700EF" w:rsidR="00943B0F" w:rsidRPr="00F24F93" w:rsidRDefault="00943B0F" w:rsidP="00230F15">
            <w:pPr>
              <w:jc w:val="center"/>
              <w:rPr>
                <w:lang w:val="en-US"/>
              </w:rPr>
            </w:pPr>
            <w:r w:rsidRPr="00F24F93">
              <w:t>Declaration</w:t>
            </w:r>
          </w:p>
        </w:tc>
        <w:tc>
          <w:tcPr>
            <w:tcW w:w="3195" w:type="dxa"/>
          </w:tcPr>
          <w:p w14:paraId="3DD07C02" w14:textId="40F6BB90" w:rsidR="00943B0F" w:rsidRPr="00F24F93" w:rsidRDefault="00943B0F" w:rsidP="00230F1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24F93">
              <w:t>Pros</w:t>
            </w:r>
          </w:p>
        </w:tc>
        <w:tc>
          <w:tcPr>
            <w:tcW w:w="3195" w:type="dxa"/>
            <w:vAlign w:val="center"/>
          </w:tcPr>
          <w:p w14:paraId="02323FC2" w14:textId="548654D5" w:rsidR="00943B0F" w:rsidRPr="00F24F93" w:rsidRDefault="00943B0F" w:rsidP="00230F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24F93">
              <w:t>Cons</w:t>
            </w:r>
          </w:p>
        </w:tc>
      </w:tr>
      <w:tr w:rsidR="00770AC0" w:rsidRPr="00770AC0" w14:paraId="7137AD13" w14:textId="77777777" w:rsidTr="00943B0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</w:tcPr>
          <w:p w14:paraId="27669463" w14:textId="02933183" w:rsidR="00770AC0" w:rsidRPr="00770AC0" w:rsidRDefault="00E34228" w:rsidP="00770AC0">
            <w:pPr>
              <w:rPr>
                <w:rFonts w:eastAsia="SimSun"/>
                <w:b w:val="0"/>
                <w:bCs w:val="0"/>
              </w:rPr>
            </w:pPr>
            <w:r>
              <w:t xml:space="preserve">Option 1: </w:t>
            </w:r>
            <w:r w:rsidR="00770AC0" w:rsidRPr="00770AC0">
              <w:t>Of exact maximum radiation aperture of any of the panels integrated in the DUT</w:t>
            </w:r>
          </w:p>
        </w:tc>
        <w:tc>
          <w:tcPr>
            <w:tcW w:w="3195" w:type="dxa"/>
          </w:tcPr>
          <w:p w14:paraId="6C2A9D1B" w14:textId="3077ECB4" w:rsidR="00770AC0" w:rsidRPr="00770AC0" w:rsidRDefault="00770AC0" w:rsidP="00770AC0">
            <w:pPr>
              <w:pStyle w:val="ListParagraph"/>
              <w:numPr>
                <w:ilvl w:val="0"/>
                <w:numId w:val="44"/>
              </w:num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770AC0">
              <w:rPr>
                <w:szCs w:val="20"/>
              </w:rPr>
              <w:t>Allows test systems with smaller range lengths for certain DUTs</w:t>
            </w:r>
          </w:p>
          <w:p w14:paraId="25576EB6" w14:textId="6F35CFBF" w:rsidR="00770AC0" w:rsidRPr="00770AC0" w:rsidRDefault="00770AC0" w:rsidP="00770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95" w:type="dxa"/>
          </w:tcPr>
          <w:p w14:paraId="2A735757" w14:textId="77777777" w:rsidR="00770AC0" w:rsidRPr="00770AC0" w:rsidRDefault="00770AC0" w:rsidP="00770AC0">
            <w:pPr>
              <w:pStyle w:val="ListParagraph"/>
              <w:numPr>
                <w:ilvl w:val="0"/>
                <w:numId w:val="45"/>
              </w:numPr>
              <w:ind w:left="297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770AC0">
              <w:rPr>
                <w:szCs w:val="20"/>
              </w:rPr>
              <w:t>UE vendors reluctant to declare detailed antenna information</w:t>
            </w:r>
          </w:p>
          <w:p w14:paraId="179A91D2" w14:textId="600E85B2" w:rsidR="00770AC0" w:rsidRDefault="00770AC0" w:rsidP="00770AC0">
            <w:pPr>
              <w:pStyle w:val="ListParagraph"/>
              <w:numPr>
                <w:ilvl w:val="0"/>
                <w:numId w:val="45"/>
              </w:numPr>
              <w:ind w:left="297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770AC0">
              <w:rPr>
                <w:szCs w:val="20"/>
              </w:rPr>
              <w:t>Lack of clarity how exactly the aperture for specific implementation is defined</w:t>
            </w:r>
          </w:p>
          <w:p w14:paraId="68462C91" w14:textId="77777777" w:rsidR="00770AC0" w:rsidRPr="00770AC0" w:rsidRDefault="00770AC0" w:rsidP="00770AC0">
            <w:pPr>
              <w:pStyle w:val="ListParagraph"/>
              <w:numPr>
                <w:ilvl w:val="0"/>
                <w:numId w:val="45"/>
              </w:numPr>
              <w:ind w:left="297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 xml:space="preserve">Labs with smaller range length systems have limited applicability, i.e., </w:t>
            </w:r>
            <w:r>
              <w:t>can only support a limited subset of PC3 devices and would have to decline business for a certain set of devices</w:t>
            </w:r>
          </w:p>
          <w:p w14:paraId="263F004E" w14:textId="66767D78" w:rsidR="00770AC0" w:rsidRPr="00770AC0" w:rsidRDefault="00770AC0" w:rsidP="00770AC0">
            <w:pPr>
              <w:pStyle w:val="ListParagraph"/>
              <w:numPr>
                <w:ilvl w:val="0"/>
                <w:numId w:val="45"/>
              </w:numPr>
              <w:ind w:left="297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Could prevent</w:t>
            </w:r>
            <w:r w:rsidRPr="00770AC0">
              <w:rPr>
                <w:szCs w:val="20"/>
              </w:rPr>
              <w:t xml:space="preserve"> MU evolution with vendors trying to protect existing MTSU met with smaller range length systems</w:t>
            </w:r>
          </w:p>
        </w:tc>
      </w:tr>
      <w:tr w:rsidR="00E34228" w:rsidRPr="00770AC0" w14:paraId="29ACE42C" w14:textId="77777777" w:rsidTr="00943B0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</w:tcPr>
          <w:p w14:paraId="202DDBD6" w14:textId="1CDEA566" w:rsidR="00E34228" w:rsidRPr="00770AC0" w:rsidRDefault="00E34228" w:rsidP="00E34228">
            <w:r>
              <w:t xml:space="preserve">Option 2: </w:t>
            </w:r>
            <w:r w:rsidRPr="00770AC0">
              <w:t>Whether the maximum radiation aperture of any of the panels integrated in the DUTs is ≤5cm or not</w:t>
            </w:r>
          </w:p>
        </w:tc>
        <w:tc>
          <w:tcPr>
            <w:tcW w:w="3195" w:type="dxa"/>
          </w:tcPr>
          <w:p w14:paraId="247BE870" w14:textId="37E0378B" w:rsidR="00E34228" w:rsidRDefault="00E34228" w:rsidP="00E34228">
            <w:pPr>
              <w:pStyle w:val="ListParagraph"/>
              <w:numPr>
                <w:ilvl w:val="0"/>
                <w:numId w:val="44"/>
              </w:num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770AC0">
              <w:rPr>
                <w:szCs w:val="20"/>
              </w:rPr>
              <w:t>Simplicity</w:t>
            </w:r>
          </w:p>
          <w:p w14:paraId="2FBFAB49" w14:textId="7F555BEE" w:rsidR="00762B59" w:rsidRPr="00770AC0" w:rsidRDefault="00762B59" w:rsidP="00E34228">
            <w:pPr>
              <w:pStyle w:val="ListParagraph"/>
              <w:numPr>
                <w:ilvl w:val="0"/>
                <w:numId w:val="44"/>
              </w:num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Does not require OEMs to declare detailed antenna information</w:t>
            </w:r>
          </w:p>
          <w:p w14:paraId="4090D4DF" w14:textId="77777777" w:rsidR="00E34228" w:rsidRPr="00770AC0" w:rsidRDefault="00E34228" w:rsidP="00E34228">
            <w:pPr>
              <w:pStyle w:val="ListParagraph"/>
              <w:numPr>
                <w:ilvl w:val="0"/>
                <w:numId w:val="44"/>
              </w:num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770AC0">
              <w:rPr>
                <w:szCs w:val="20"/>
              </w:rPr>
              <w:t>Allows full applicability of PC3 devices</w:t>
            </w:r>
          </w:p>
          <w:p w14:paraId="1A577018" w14:textId="507F1F4A" w:rsidR="00E34228" w:rsidRPr="00770AC0" w:rsidRDefault="00E34228" w:rsidP="00E34228">
            <w:pPr>
              <w:pStyle w:val="ListParagraph"/>
              <w:numPr>
                <w:ilvl w:val="0"/>
                <w:numId w:val="44"/>
              </w:num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770AC0">
              <w:rPr>
                <w:szCs w:val="20"/>
              </w:rPr>
              <w:t xml:space="preserve">Allows MU evolution </w:t>
            </w:r>
            <w:r w:rsidR="00762B59">
              <w:rPr>
                <w:szCs w:val="20"/>
              </w:rPr>
              <w:t xml:space="preserve">more readily </w:t>
            </w:r>
            <w:r w:rsidRPr="00770AC0">
              <w:rPr>
                <w:szCs w:val="20"/>
              </w:rPr>
              <w:t>with</w:t>
            </w:r>
            <w:r w:rsidR="00762B59">
              <w:rPr>
                <w:szCs w:val="20"/>
              </w:rPr>
              <w:t>out</w:t>
            </w:r>
            <w:r w:rsidRPr="00770AC0">
              <w:rPr>
                <w:szCs w:val="20"/>
              </w:rPr>
              <w:t xml:space="preserve"> vendors trying to protect existing MTSU met with smaller range length systems</w:t>
            </w:r>
          </w:p>
        </w:tc>
        <w:tc>
          <w:tcPr>
            <w:tcW w:w="3195" w:type="dxa"/>
          </w:tcPr>
          <w:p w14:paraId="277409E8" w14:textId="24FDD178" w:rsidR="00E34228" w:rsidRPr="00770AC0" w:rsidRDefault="00E34228" w:rsidP="00E34228">
            <w:pPr>
              <w:pStyle w:val="ListParagraph"/>
              <w:numPr>
                <w:ilvl w:val="0"/>
                <w:numId w:val="45"/>
              </w:numPr>
              <w:ind w:left="297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770AC0">
              <w:rPr>
                <w:szCs w:val="20"/>
              </w:rPr>
              <w:t>Does not allow test systems to be reduced in size</w:t>
            </w:r>
          </w:p>
        </w:tc>
      </w:tr>
      <w:tr w:rsidR="00E34228" w:rsidRPr="00770AC0" w14:paraId="7C40AE19" w14:textId="77777777" w:rsidTr="00943B0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hideMark/>
          </w:tcPr>
          <w:p w14:paraId="378576D7" w14:textId="7F8B274D" w:rsidR="00E34228" w:rsidRPr="00770AC0" w:rsidRDefault="00E34228" w:rsidP="00E34228">
            <w:r>
              <w:t xml:space="preserve">Option 3: </w:t>
            </w:r>
            <w:r w:rsidRPr="00770AC0">
              <w:t>Whether the maximum radiation aperture of any of the panels integrated in the DUT is ≤5cm, ≤4.5cm, ≤4cm, ≤3.5cm, etc.</w:t>
            </w:r>
          </w:p>
        </w:tc>
        <w:tc>
          <w:tcPr>
            <w:tcW w:w="3195" w:type="dxa"/>
          </w:tcPr>
          <w:p w14:paraId="044557CA" w14:textId="3E4015A3" w:rsidR="00E34228" w:rsidRPr="00770AC0" w:rsidRDefault="00E34228" w:rsidP="00E34228">
            <w:pPr>
              <w:pStyle w:val="ListParagraph"/>
              <w:numPr>
                <w:ilvl w:val="0"/>
                <w:numId w:val="44"/>
              </w:num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770AC0">
              <w:rPr>
                <w:szCs w:val="20"/>
              </w:rPr>
              <w:t>Allows test systems with smaller range lengths for certain DUT</w:t>
            </w:r>
            <w:r>
              <w:rPr>
                <w:szCs w:val="20"/>
              </w:rPr>
              <w:t>s</w:t>
            </w:r>
          </w:p>
          <w:p w14:paraId="162CD4AC" w14:textId="7E6FBE0E" w:rsidR="00E34228" w:rsidRPr="00770AC0" w:rsidRDefault="00E34228" w:rsidP="00E342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95" w:type="dxa"/>
          </w:tcPr>
          <w:p w14:paraId="645E30C9" w14:textId="77777777" w:rsidR="00E34228" w:rsidRPr="00770AC0" w:rsidRDefault="00E34228" w:rsidP="00E34228">
            <w:pPr>
              <w:pStyle w:val="ListParagraph"/>
              <w:numPr>
                <w:ilvl w:val="0"/>
                <w:numId w:val="46"/>
              </w:numPr>
              <w:ind w:left="297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770AC0">
              <w:rPr>
                <w:szCs w:val="20"/>
              </w:rPr>
              <w:t>UE vendors reluctant to declare detailed antenna information</w:t>
            </w:r>
          </w:p>
          <w:p w14:paraId="55E570A5" w14:textId="77777777" w:rsidR="00E34228" w:rsidRPr="00770AC0" w:rsidRDefault="00E34228" w:rsidP="00E34228">
            <w:pPr>
              <w:pStyle w:val="ListParagraph"/>
              <w:numPr>
                <w:ilvl w:val="0"/>
                <w:numId w:val="46"/>
              </w:numPr>
              <w:ind w:left="297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 xml:space="preserve">Labs with smaller range length systems have limited applicability, i.e., </w:t>
            </w:r>
            <w:r>
              <w:t>can only support a limited subset of PC3 devices and would have to decline business for a certain set of devices</w:t>
            </w:r>
          </w:p>
          <w:p w14:paraId="50E797A9" w14:textId="3CF3B674" w:rsidR="00E34228" w:rsidRPr="00770AC0" w:rsidRDefault="00E34228" w:rsidP="00E34228">
            <w:pPr>
              <w:pStyle w:val="ListParagraph"/>
              <w:numPr>
                <w:ilvl w:val="0"/>
                <w:numId w:val="46"/>
              </w:numPr>
              <w:ind w:left="297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Could prevent</w:t>
            </w:r>
            <w:r w:rsidRPr="00770AC0">
              <w:rPr>
                <w:szCs w:val="20"/>
              </w:rPr>
              <w:t xml:space="preserve"> MU evolution with vendors trying to protect existing MTSU met with smaller range length systems</w:t>
            </w:r>
          </w:p>
        </w:tc>
      </w:tr>
      <w:bookmarkEnd w:id="10"/>
    </w:tbl>
    <w:p w14:paraId="745E9312" w14:textId="77777777" w:rsidR="00624C6C" w:rsidRDefault="00624C6C" w:rsidP="00F46E30"/>
    <w:p w14:paraId="48A4DA66" w14:textId="08B4C62E" w:rsidR="009922F8" w:rsidRDefault="00C77017" w:rsidP="00F46E30">
      <w:r w:rsidRPr="00C77017">
        <w:lastRenderedPageBreak/>
        <w:t xml:space="preserve">As a TE vendor, </w:t>
      </w:r>
      <w:r>
        <w:t>we do not</w:t>
      </w:r>
      <w:r w:rsidRPr="00C77017">
        <w:t xml:space="preserve"> have a strong</w:t>
      </w:r>
      <w:r>
        <w:t xml:space="preserve"> view but </w:t>
      </w:r>
      <w:r w:rsidR="00342788">
        <w:t xml:space="preserve">given the pros and cons presented in </w:t>
      </w:r>
      <w:r w:rsidR="00342788">
        <w:fldChar w:fldCharType="begin"/>
      </w:r>
      <w:r w:rsidR="00342788">
        <w:instrText xml:space="preserve"> REF _Ref70951819 \h </w:instrText>
      </w:r>
      <w:r w:rsidR="00342788">
        <w:fldChar w:fldCharType="separate"/>
      </w:r>
      <w:r w:rsidR="00342788">
        <w:t xml:space="preserve">Table </w:t>
      </w:r>
      <w:r w:rsidR="00342788">
        <w:rPr>
          <w:noProof/>
        </w:rPr>
        <w:t>3</w:t>
      </w:r>
      <w:r w:rsidR="00342788">
        <w:fldChar w:fldCharType="end"/>
      </w:r>
      <w:r w:rsidR="00342788">
        <w:t xml:space="preserve">, it seems that Option 2, i.e., </w:t>
      </w:r>
      <w:r w:rsidR="00342788" w:rsidRPr="00342788">
        <w:rPr>
          <w:rFonts w:hint="eastAsia"/>
        </w:rPr>
        <w:t>UE vendor declare</w:t>
      </w:r>
      <w:r w:rsidR="00342788">
        <w:t>s</w:t>
      </w:r>
      <w:r w:rsidR="00342788" w:rsidRPr="00342788">
        <w:rPr>
          <w:rFonts w:hint="eastAsia"/>
        </w:rPr>
        <w:t xml:space="preserve"> whether the maximum radiation aperture of any of the panels integrated in the UE is </w:t>
      </w:r>
      <w:r w:rsidR="00342788" w:rsidRPr="00342788">
        <w:rPr>
          <w:rFonts w:hint="eastAsia"/>
        </w:rPr>
        <w:t>≤</w:t>
      </w:r>
      <w:r w:rsidR="00342788" w:rsidRPr="00342788">
        <w:rPr>
          <w:rFonts w:hint="eastAsia"/>
        </w:rPr>
        <w:t>5cm or no</w:t>
      </w:r>
      <w:r w:rsidR="00762B59">
        <w:t>t</w:t>
      </w:r>
      <w:r w:rsidR="00342788">
        <w:t>, is the most suitable approach.</w:t>
      </w:r>
    </w:p>
    <w:p w14:paraId="6E71F854" w14:textId="48880380" w:rsidR="00C77017" w:rsidRDefault="00C77017" w:rsidP="00C77017">
      <w:pPr>
        <w:pStyle w:val="Caption"/>
      </w:pPr>
      <w:bookmarkStart w:id="11" w:name="_Ref59546184"/>
      <w:bookmarkStart w:id="12" w:name="_Ref59546193"/>
      <w:bookmarkStart w:id="13" w:name="_Ref59546319"/>
      <w:bookmarkStart w:id="14" w:name="_Ref7109797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667FCB">
        <w:rPr>
          <w:noProof/>
        </w:rPr>
        <w:t>1</w:t>
      </w:r>
      <w:r>
        <w:fldChar w:fldCharType="end"/>
      </w:r>
      <w:r>
        <w:t xml:space="preserve">: </w:t>
      </w:r>
      <w:bookmarkEnd w:id="11"/>
      <w:bookmarkEnd w:id="12"/>
      <w:bookmarkEnd w:id="13"/>
      <w:r w:rsidR="00342788">
        <w:t>Select Option 2</w:t>
      </w:r>
      <w:r w:rsidR="00762B59">
        <w:t>,</w:t>
      </w:r>
      <w:r w:rsidR="00762B59" w:rsidRPr="00762B59">
        <w:t xml:space="preserve"> </w:t>
      </w:r>
      <w:r w:rsidR="00762B59">
        <w:t xml:space="preserve">i.e., </w:t>
      </w:r>
      <w:r w:rsidR="00762B59" w:rsidRPr="00342788">
        <w:rPr>
          <w:rFonts w:hint="eastAsia"/>
        </w:rPr>
        <w:t>UE vendor declare</w:t>
      </w:r>
      <w:r w:rsidR="00762B59">
        <w:t>s</w:t>
      </w:r>
      <w:r w:rsidR="00762B59" w:rsidRPr="00342788">
        <w:rPr>
          <w:rFonts w:hint="eastAsia"/>
        </w:rPr>
        <w:t xml:space="preserve"> whether the maximum radiation aperture of any of the panels integrated in the UE is </w:t>
      </w:r>
      <w:r w:rsidR="00762B59" w:rsidRPr="00342788">
        <w:rPr>
          <w:rFonts w:hint="eastAsia"/>
        </w:rPr>
        <w:t>≤</w:t>
      </w:r>
      <w:r w:rsidR="00762B59" w:rsidRPr="00342788">
        <w:rPr>
          <w:rFonts w:hint="eastAsia"/>
        </w:rPr>
        <w:t>5cm or no</w:t>
      </w:r>
      <w:r w:rsidR="00762B59">
        <w:t>t,</w:t>
      </w:r>
      <w:r w:rsidR="00342788">
        <w:t xml:space="preserve"> as vendor declaration for the radiating aperture, </w:t>
      </w:r>
      <w:r w:rsidR="00342788" w:rsidRPr="00342788">
        <w:rPr>
          <w:i/>
          <w:iCs/>
        </w:rPr>
        <w:t>D</w:t>
      </w:r>
      <w:r w:rsidR="00342788">
        <w:t>.</w:t>
      </w:r>
      <w:bookmarkEnd w:id="14"/>
      <w:r w:rsidR="00342788">
        <w:t xml:space="preserve"> </w:t>
      </w:r>
    </w:p>
    <w:p w14:paraId="30BF2A99" w14:textId="6E7A8370" w:rsidR="00495744" w:rsidRPr="00495744" w:rsidRDefault="00495744" w:rsidP="00495744">
      <w:r>
        <w:t xml:space="preserve">A CR to make the necessary changes is in </w:t>
      </w:r>
      <w:r w:rsidR="00991186">
        <w:fldChar w:fldCharType="begin"/>
      </w:r>
      <w:r w:rsidR="00991186">
        <w:instrText xml:space="preserve"> REF _Ref63662912 \w \h </w:instrText>
      </w:r>
      <w:r w:rsidR="00991186">
        <w:fldChar w:fldCharType="separate"/>
      </w:r>
      <w:r w:rsidR="00667FCB">
        <w:t>[8]</w:t>
      </w:r>
      <w:r w:rsidR="00991186">
        <w:fldChar w:fldCharType="end"/>
      </w:r>
      <w:r w:rsidR="00991186">
        <w:t>.</w:t>
      </w:r>
    </w:p>
    <w:bookmarkEnd w:id="2"/>
    <w:bookmarkEnd w:id="4"/>
    <w:p w14:paraId="35952390" w14:textId="635C54BD" w:rsidR="008B0529" w:rsidRDefault="0053435C" w:rsidP="0053435C">
      <w:pPr>
        <w:pStyle w:val="Heading1"/>
        <w:ind w:left="567" w:hanging="567"/>
      </w:pPr>
      <w:r w:rsidRPr="00354167">
        <w:t>Conclusion</w:t>
      </w:r>
    </w:p>
    <w:p w14:paraId="52D20F25" w14:textId="2AAF97F3" w:rsidR="00FA3AE0" w:rsidRDefault="009922F8" w:rsidP="00FA3AE0">
      <w:r>
        <w:t xml:space="preserve">The following observations and proposals were made in this contribution. </w:t>
      </w:r>
    </w:p>
    <w:bookmarkStart w:id="15" w:name="_Hlk71099576"/>
    <w:p w14:paraId="1B58D61F" w14:textId="28BC63B6" w:rsidR="00B951E4" w:rsidRPr="00762B59" w:rsidRDefault="00342788" w:rsidP="00FA3AE0">
      <w:pPr>
        <w:rPr>
          <w:b/>
          <w:bCs/>
        </w:rPr>
      </w:pPr>
      <w:r w:rsidRPr="00762B59">
        <w:rPr>
          <w:b/>
          <w:bCs/>
        </w:rPr>
        <w:fldChar w:fldCharType="begin"/>
      </w:r>
      <w:r w:rsidRPr="00762B59">
        <w:rPr>
          <w:b/>
          <w:bCs/>
        </w:rPr>
        <w:instrText xml:space="preserve"> REF _Ref59546182 \h  \* MERGEFORMAT </w:instrText>
      </w:r>
      <w:r w:rsidRPr="00762B59">
        <w:rPr>
          <w:b/>
          <w:bCs/>
        </w:rPr>
      </w:r>
      <w:r w:rsidRPr="00762B59">
        <w:rPr>
          <w:b/>
          <w:bCs/>
        </w:rPr>
        <w:fldChar w:fldCharType="separate"/>
      </w:r>
      <w:r w:rsidR="00CD3B53" w:rsidRPr="00CD3B53">
        <w:rPr>
          <w:b/>
          <w:bCs/>
        </w:rPr>
        <w:t xml:space="preserve">Observation </w:t>
      </w:r>
      <w:r w:rsidR="00CD3B53" w:rsidRPr="00CD3B53">
        <w:rPr>
          <w:b/>
          <w:bCs/>
          <w:noProof/>
        </w:rPr>
        <w:t>1</w:t>
      </w:r>
      <w:r w:rsidR="00CD3B53" w:rsidRPr="00CD3B53">
        <w:rPr>
          <w:b/>
          <w:bCs/>
        </w:rPr>
        <w:t>: Radiating aperture declarations have not been captured in 38.508-2.</w:t>
      </w:r>
      <w:r w:rsidRPr="00762B59">
        <w:rPr>
          <w:b/>
          <w:bCs/>
        </w:rPr>
        <w:fldChar w:fldCharType="end"/>
      </w:r>
    </w:p>
    <w:p w14:paraId="592349B0" w14:textId="593510BB" w:rsidR="00342788" w:rsidRPr="00762B59" w:rsidRDefault="00342788" w:rsidP="00FA3AE0">
      <w:pPr>
        <w:rPr>
          <w:b/>
          <w:bCs/>
        </w:rPr>
      </w:pPr>
      <w:r w:rsidRPr="00762B59">
        <w:rPr>
          <w:b/>
          <w:bCs/>
        </w:rPr>
        <w:fldChar w:fldCharType="begin"/>
      </w:r>
      <w:r w:rsidRPr="00762B59">
        <w:rPr>
          <w:b/>
          <w:bCs/>
        </w:rPr>
        <w:instrText xml:space="preserve"> REF _Ref59546183 \h  \* MERGEFORMAT </w:instrText>
      </w:r>
      <w:r w:rsidRPr="00762B59">
        <w:rPr>
          <w:b/>
          <w:bCs/>
        </w:rPr>
      </w:r>
      <w:r w:rsidRPr="00762B59">
        <w:rPr>
          <w:b/>
          <w:bCs/>
        </w:rPr>
        <w:fldChar w:fldCharType="separate"/>
      </w:r>
      <w:r w:rsidR="00CD3B53" w:rsidRPr="00CD3B53">
        <w:rPr>
          <w:b/>
          <w:bCs/>
        </w:rPr>
        <w:t xml:space="preserve">Observation </w:t>
      </w:r>
      <w:r w:rsidR="00CD3B53" w:rsidRPr="00CD3B53">
        <w:rPr>
          <w:b/>
          <w:bCs/>
          <w:noProof/>
        </w:rPr>
        <w:t>2</w:t>
      </w:r>
      <w:r w:rsidR="00CD3B53" w:rsidRPr="00CD3B53">
        <w:rPr>
          <w:b/>
          <w:bCs/>
        </w:rPr>
        <w:t>: Since some focus has shifted towards the DFF methodology for RRM test cases, it is important to define the vendor declaration of the radiation aperture in 38.508-2.</w:t>
      </w:r>
      <w:r w:rsidRPr="00762B59">
        <w:rPr>
          <w:b/>
          <w:bCs/>
        </w:rPr>
        <w:fldChar w:fldCharType="end"/>
      </w:r>
    </w:p>
    <w:p w14:paraId="2FBB229A" w14:textId="035EADFB" w:rsidR="00342788" w:rsidRPr="00762B59" w:rsidRDefault="00342788" w:rsidP="00FA3AE0">
      <w:pPr>
        <w:rPr>
          <w:b/>
          <w:bCs/>
        </w:rPr>
      </w:pPr>
      <w:r w:rsidRPr="00762B59">
        <w:rPr>
          <w:b/>
          <w:bCs/>
        </w:rPr>
        <w:fldChar w:fldCharType="begin"/>
      </w:r>
      <w:r w:rsidRPr="00762B59">
        <w:rPr>
          <w:b/>
          <w:bCs/>
        </w:rPr>
        <w:instrText xml:space="preserve"> REF _Ref71097976 \h  \* MERGEFORMAT </w:instrText>
      </w:r>
      <w:r w:rsidRPr="00762B59">
        <w:rPr>
          <w:b/>
          <w:bCs/>
        </w:rPr>
      </w:r>
      <w:r w:rsidRPr="00762B59">
        <w:rPr>
          <w:b/>
          <w:bCs/>
        </w:rPr>
        <w:fldChar w:fldCharType="separate"/>
      </w:r>
      <w:r w:rsidR="00CD3B53" w:rsidRPr="00CD3B53">
        <w:rPr>
          <w:b/>
          <w:bCs/>
        </w:rPr>
        <w:t xml:space="preserve">Proposal </w:t>
      </w:r>
      <w:r w:rsidR="00CD3B53" w:rsidRPr="00CD3B53">
        <w:rPr>
          <w:b/>
          <w:bCs/>
          <w:noProof/>
        </w:rPr>
        <w:t>1</w:t>
      </w:r>
      <w:r w:rsidR="00CD3B53" w:rsidRPr="00CD3B53">
        <w:rPr>
          <w:b/>
          <w:bCs/>
        </w:rPr>
        <w:t xml:space="preserve">: Select Option 2, i.e., </w:t>
      </w:r>
      <w:r w:rsidR="00CD3B53" w:rsidRPr="00CD3B53">
        <w:rPr>
          <w:rFonts w:hint="eastAsia"/>
          <w:b/>
          <w:bCs/>
        </w:rPr>
        <w:t>UE vendor declare</w:t>
      </w:r>
      <w:r w:rsidR="00CD3B53" w:rsidRPr="00CD3B53">
        <w:rPr>
          <w:b/>
          <w:bCs/>
        </w:rPr>
        <w:t>s</w:t>
      </w:r>
      <w:r w:rsidR="00CD3B53" w:rsidRPr="00CD3B53">
        <w:rPr>
          <w:rFonts w:hint="eastAsia"/>
          <w:b/>
          <w:bCs/>
        </w:rPr>
        <w:t xml:space="preserve"> whether the maximum radiation aperture of any of the panels integrated in the UE is </w:t>
      </w:r>
      <w:r w:rsidR="00CD3B53" w:rsidRPr="00CD3B53">
        <w:rPr>
          <w:rFonts w:hint="eastAsia"/>
          <w:b/>
          <w:bCs/>
        </w:rPr>
        <w:t>≤</w:t>
      </w:r>
      <w:r w:rsidR="00CD3B53" w:rsidRPr="00CD3B53">
        <w:rPr>
          <w:rFonts w:hint="eastAsia"/>
          <w:b/>
          <w:bCs/>
        </w:rPr>
        <w:t>5cm or no</w:t>
      </w:r>
      <w:r w:rsidR="00CD3B53" w:rsidRPr="00CD3B53">
        <w:rPr>
          <w:b/>
          <w:bCs/>
        </w:rPr>
        <w:t xml:space="preserve">t, as vendor declaration for the radiating aperture, </w:t>
      </w:r>
      <w:r w:rsidR="00CD3B53" w:rsidRPr="00CD3B53">
        <w:rPr>
          <w:b/>
          <w:bCs/>
          <w:i/>
          <w:iCs/>
        </w:rPr>
        <w:t>D</w:t>
      </w:r>
      <w:r w:rsidR="00CD3B53" w:rsidRPr="00CD3B53">
        <w:rPr>
          <w:b/>
          <w:bCs/>
        </w:rPr>
        <w:t>.</w:t>
      </w:r>
      <w:r w:rsidRPr="00762B59">
        <w:rPr>
          <w:b/>
          <w:bCs/>
        </w:rPr>
        <w:fldChar w:fldCharType="end"/>
      </w:r>
    </w:p>
    <w:bookmarkEnd w:id="15"/>
    <w:p w14:paraId="35952392" w14:textId="77777777" w:rsidR="00DD1C07" w:rsidRPr="00354167" w:rsidRDefault="00DD1C07" w:rsidP="00DD1C07">
      <w:pPr>
        <w:pStyle w:val="Heading1"/>
        <w:ind w:left="567" w:hanging="567"/>
      </w:pPr>
      <w:r w:rsidRPr="00354167">
        <w:t>References</w:t>
      </w:r>
    </w:p>
    <w:p w14:paraId="57E68977" w14:textId="7D22F028" w:rsidR="003404F4" w:rsidRDefault="00F87203" w:rsidP="00F8720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" w:name="_Ref59535264"/>
      <w:r w:rsidRPr="00F87203">
        <w:t>TS 38.508-1, User Equipment (UE) conformance specification; Part 1: Common test environment, V</w:t>
      </w:r>
      <w:r w:rsidR="00F24F93">
        <w:t>17</w:t>
      </w:r>
      <w:r w:rsidRPr="00F87203">
        <w:t>.</w:t>
      </w:r>
      <w:r w:rsidR="00F24F93">
        <w:t>0</w:t>
      </w:r>
      <w:r w:rsidRPr="00F87203">
        <w:t>.</w:t>
      </w:r>
      <w:r w:rsidR="006C2297">
        <w:t>0</w:t>
      </w:r>
      <w:r w:rsidRPr="00F87203">
        <w:t xml:space="preserve"> (202</w:t>
      </w:r>
      <w:r w:rsidR="00F24F93">
        <w:t>1</w:t>
      </w:r>
      <w:r w:rsidRPr="00F87203">
        <w:t>-</w:t>
      </w:r>
      <w:r w:rsidR="00F24F93">
        <w:t>03</w:t>
      </w:r>
      <w:r w:rsidRPr="00F87203">
        <w:t>)</w:t>
      </w:r>
      <w:bookmarkEnd w:id="16"/>
    </w:p>
    <w:p w14:paraId="725E3374" w14:textId="77777777" w:rsidR="00804350" w:rsidRPr="00B05355" w:rsidRDefault="00804350" w:rsidP="00B0535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7" w:name="_Ref59537534"/>
      <w:r>
        <w:t>TR38.810, Study on test methods, V16.6.1 (2020-09)</w:t>
      </w:r>
      <w:bookmarkEnd w:id="17"/>
    </w:p>
    <w:p w14:paraId="3DD8B044" w14:textId="77777777" w:rsidR="00B05355" w:rsidRPr="00B05355" w:rsidRDefault="00B05355" w:rsidP="00B0535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8" w:name="_Ref59543414"/>
      <w:r w:rsidRPr="00B05355">
        <w:t xml:space="preserve">TS 38.533, </w:t>
      </w:r>
      <w:bookmarkEnd w:id="18"/>
      <w:r w:rsidRPr="00B05355">
        <w:t>TS 38.533, User Equipment (UE) conformance specification; Radio Resource Management (RRM), V16.5.0 (2020-09)</w:t>
      </w:r>
    </w:p>
    <w:p w14:paraId="6B2D2B9A" w14:textId="15A00FB6" w:rsidR="00804350" w:rsidRDefault="004B4446" w:rsidP="00F8720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9" w:name="_Ref59544225"/>
      <w:r>
        <w:t xml:space="preserve">TS </w:t>
      </w:r>
      <w:r w:rsidRPr="004B4446">
        <w:t>38.508-2</w:t>
      </w:r>
      <w:r>
        <w:t xml:space="preserve">, </w:t>
      </w:r>
      <w:r w:rsidRPr="004B4446">
        <w:t>User Equipment (UE) conformance specification; Part 2: Common Implementation Conformance Statement (ICS) proforma</w:t>
      </w:r>
      <w:r>
        <w:t xml:space="preserve">, </w:t>
      </w:r>
      <w:r w:rsidR="00F24F93">
        <w:t>V17.0.0</w:t>
      </w:r>
      <w:bookmarkEnd w:id="19"/>
    </w:p>
    <w:p w14:paraId="6001760A" w14:textId="12A1A16A" w:rsidR="00754C90" w:rsidRDefault="00754C90" w:rsidP="00F8720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0" w:name="_Ref71095775"/>
      <w:r w:rsidRPr="00754C90">
        <w:t>R5-210839</w:t>
      </w:r>
      <w:r>
        <w:t xml:space="preserve">, </w:t>
      </w:r>
      <w:r w:rsidRPr="00754C90">
        <w:t>On declaration of FR2 antenna implementation and test method applicability</w:t>
      </w:r>
      <w:r>
        <w:t xml:space="preserve">, Anritsu, </w:t>
      </w:r>
      <w:r w:rsidRPr="00754C90">
        <w:t>3GPP TSG-RAN5 Meeting 90-e</w:t>
      </w:r>
      <w:r>
        <w:t>, February 2021</w:t>
      </w:r>
      <w:bookmarkEnd w:id="20"/>
    </w:p>
    <w:p w14:paraId="5DBA2125" w14:textId="46367DD2" w:rsidR="00754C90" w:rsidRDefault="00754C90" w:rsidP="00F8720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1" w:name="_Ref71095781"/>
      <w:r w:rsidRPr="00754C90">
        <w:t>R5-211194</w:t>
      </w:r>
      <w:r>
        <w:t xml:space="preserve">, </w:t>
      </w:r>
      <w:r w:rsidRPr="00754C90">
        <w:t>On Vendor Declaration Related to Antenna Aperture D for DFF</w:t>
      </w:r>
      <w:r>
        <w:t xml:space="preserve">, Keysight Technologies, </w:t>
      </w:r>
      <w:r w:rsidRPr="00754C90">
        <w:t>3GPP TSG-RAN5 Meeting 90-e</w:t>
      </w:r>
      <w:r>
        <w:t>, February 2021</w:t>
      </w:r>
      <w:bookmarkEnd w:id="21"/>
    </w:p>
    <w:p w14:paraId="5FCC049F" w14:textId="172DF423" w:rsidR="00704E13" w:rsidRDefault="00704E13" w:rsidP="00F8720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2" w:name="_Ref71098252"/>
      <w:r w:rsidRPr="00704E13">
        <w:t>R5-192820</w:t>
      </w:r>
      <w:r>
        <w:t xml:space="preserve">, </w:t>
      </w:r>
      <w:r w:rsidRPr="00704E13">
        <w:t>WF on Maximum Test System Uncertainty Evolution for FR2</w:t>
      </w:r>
      <w:r>
        <w:t xml:space="preserve">, </w:t>
      </w:r>
      <w:r w:rsidRPr="00704E13">
        <w:t>Keysight Technologies, Rohde &amp;Schwarz, Anritsu, Samsung, MVG, ETS-Lindgren, PCTEST Engineering Lab, Ericsson</w:t>
      </w:r>
      <w:r>
        <w:t xml:space="preserve">, </w:t>
      </w:r>
      <w:r w:rsidRPr="00704E13">
        <w:t>3GPP TSG-RAN5 Meeting #82</w:t>
      </w:r>
      <w:r>
        <w:t xml:space="preserve">, </w:t>
      </w:r>
      <w:r w:rsidRPr="00704E13">
        <w:t>Mar 2019</w:t>
      </w:r>
      <w:bookmarkEnd w:id="22"/>
    </w:p>
    <w:p w14:paraId="7DA8FDD9" w14:textId="4C2825BF" w:rsidR="00495744" w:rsidRPr="00354167" w:rsidRDefault="00F24F93" w:rsidP="00F8720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3" w:name="_Ref63662912"/>
      <w:r w:rsidRPr="00F24F93">
        <w:t>R5-213250</w:t>
      </w:r>
      <w:r w:rsidR="00495744">
        <w:t xml:space="preserve">, </w:t>
      </w:r>
      <w:r w:rsidR="00495744" w:rsidRPr="00495744">
        <w:t>CR to 38.508-2 on Antenna Aperture Declarations</w:t>
      </w:r>
      <w:r w:rsidR="00495744">
        <w:t xml:space="preserve">, </w:t>
      </w:r>
      <w:r w:rsidR="00495744" w:rsidRPr="00495744">
        <w:t>Keysight Technologies</w:t>
      </w:r>
      <w:r w:rsidR="00495744">
        <w:t xml:space="preserve">, </w:t>
      </w:r>
      <w:r w:rsidR="00495744" w:rsidRPr="00495744">
        <w:t>3GPP TSG-RAN5 Meeting #9</w:t>
      </w:r>
      <w:r w:rsidR="008A63AD">
        <w:t>1</w:t>
      </w:r>
      <w:r w:rsidR="00495744" w:rsidRPr="00495744">
        <w:t>-e</w:t>
      </w:r>
      <w:r w:rsidR="00495744">
        <w:t xml:space="preserve">, </w:t>
      </w:r>
      <w:r w:rsidR="008A63AD">
        <w:t>May</w:t>
      </w:r>
      <w:r w:rsidR="00495744">
        <w:t xml:space="preserve"> 2021</w:t>
      </w:r>
      <w:bookmarkEnd w:id="23"/>
    </w:p>
    <w:sectPr w:rsidR="00495744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F3AA3" w14:textId="77777777" w:rsidR="00115372" w:rsidRDefault="00115372">
      <w:r>
        <w:separator/>
      </w:r>
    </w:p>
  </w:endnote>
  <w:endnote w:type="continuationSeparator" w:id="0">
    <w:p w14:paraId="66A81694" w14:textId="77777777" w:rsidR="00115372" w:rsidRDefault="00115372">
      <w:r>
        <w:continuationSeparator/>
      </w:r>
    </w:p>
  </w:endnote>
  <w:endnote w:type="continuationNotice" w:id="1">
    <w:p w14:paraId="48AB5FA0" w14:textId="77777777" w:rsidR="00115372" w:rsidRDefault="001153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010CAA" w14:textId="77777777" w:rsidR="00115372" w:rsidRDefault="00115372">
      <w:r>
        <w:separator/>
      </w:r>
    </w:p>
  </w:footnote>
  <w:footnote w:type="continuationSeparator" w:id="0">
    <w:p w14:paraId="441AF830" w14:textId="77777777" w:rsidR="00115372" w:rsidRDefault="00115372">
      <w:r>
        <w:continuationSeparator/>
      </w:r>
    </w:p>
  </w:footnote>
  <w:footnote w:type="continuationNotice" w:id="1">
    <w:p w14:paraId="53DEDCA1" w14:textId="77777777" w:rsidR="00115372" w:rsidRDefault="001153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77DE0"/>
    <w:multiLevelType w:val="hybridMultilevel"/>
    <w:tmpl w:val="955C4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B37666"/>
    <w:multiLevelType w:val="hybridMultilevel"/>
    <w:tmpl w:val="F252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E6417B6"/>
    <w:multiLevelType w:val="hybridMultilevel"/>
    <w:tmpl w:val="ADD09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3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8A6D4F"/>
    <w:multiLevelType w:val="hybridMultilevel"/>
    <w:tmpl w:val="9E024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7"/>
  </w:num>
  <w:num w:numId="5">
    <w:abstractNumId w:val="2"/>
  </w:num>
  <w:num w:numId="6">
    <w:abstractNumId w:val="19"/>
  </w:num>
  <w:num w:numId="7">
    <w:abstractNumId w:val="15"/>
  </w:num>
  <w:num w:numId="8">
    <w:abstractNumId w:val="9"/>
  </w:num>
  <w:num w:numId="9">
    <w:abstractNumId w:val="24"/>
  </w:num>
  <w:num w:numId="10">
    <w:abstractNumId w:val="6"/>
  </w:num>
  <w:num w:numId="11">
    <w:abstractNumId w:val="30"/>
  </w:num>
  <w:num w:numId="12">
    <w:abstractNumId w:val="13"/>
  </w:num>
  <w:num w:numId="13">
    <w:abstractNumId w:val="29"/>
  </w:num>
  <w:num w:numId="14">
    <w:abstractNumId w:val="36"/>
  </w:num>
  <w:num w:numId="15">
    <w:abstractNumId w:val="12"/>
  </w:num>
  <w:num w:numId="16">
    <w:abstractNumId w:val="35"/>
  </w:num>
  <w:num w:numId="17">
    <w:abstractNumId w:val="8"/>
  </w:num>
  <w:num w:numId="18">
    <w:abstractNumId w:val="27"/>
  </w:num>
  <w:num w:numId="19">
    <w:abstractNumId w:val="22"/>
  </w:num>
  <w:num w:numId="20">
    <w:abstractNumId w:val="28"/>
  </w:num>
  <w:num w:numId="21">
    <w:abstractNumId w:val="34"/>
  </w:num>
  <w:num w:numId="22">
    <w:abstractNumId w:val="26"/>
  </w:num>
  <w:num w:numId="23">
    <w:abstractNumId w:val="23"/>
  </w:num>
  <w:num w:numId="24">
    <w:abstractNumId w:val="10"/>
  </w:num>
  <w:num w:numId="25">
    <w:abstractNumId w:val="5"/>
  </w:num>
  <w:num w:numId="26">
    <w:abstractNumId w:val="27"/>
  </w:num>
  <w:num w:numId="27">
    <w:abstractNumId w:val="27"/>
  </w:num>
  <w:num w:numId="28">
    <w:abstractNumId w:val="27"/>
  </w:num>
  <w:num w:numId="29">
    <w:abstractNumId w:val="20"/>
  </w:num>
  <w:num w:numId="30">
    <w:abstractNumId w:val="18"/>
  </w:num>
  <w:num w:numId="31">
    <w:abstractNumId w:val="40"/>
  </w:num>
  <w:num w:numId="32">
    <w:abstractNumId w:val="32"/>
  </w:num>
  <w:num w:numId="33">
    <w:abstractNumId w:val="38"/>
  </w:num>
  <w:num w:numId="34">
    <w:abstractNumId w:val="17"/>
  </w:num>
  <w:num w:numId="35">
    <w:abstractNumId w:val="7"/>
  </w:num>
  <w:num w:numId="36">
    <w:abstractNumId w:val="1"/>
  </w:num>
  <w:num w:numId="37">
    <w:abstractNumId w:val="31"/>
  </w:num>
  <w:num w:numId="38">
    <w:abstractNumId w:val="14"/>
  </w:num>
  <w:num w:numId="39">
    <w:abstractNumId w:val="4"/>
  </w:num>
  <w:num w:numId="40">
    <w:abstractNumId w:val="33"/>
  </w:num>
  <w:num w:numId="41">
    <w:abstractNumId w:val="21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25"/>
  </w:num>
  <w:num w:numId="45">
    <w:abstractNumId w:val="11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729"/>
    <w:rsid w:val="00006800"/>
    <w:rsid w:val="000078E2"/>
    <w:rsid w:val="00010EA1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247E"/>
    <w:rsid w:val="00064500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545E"/>
    <w:rsid w:val="000D6B69"/>
    <w:rsid w:val="000D6CFC"/>
    <w:rsid w:val="000E24A4"/>
    <w:rsid w:val="00102BA0"/>
    <w:rsid w:val="00111826"/>
    <w:rsid w:val="00114DB9"/>
    <w:rsid w:val="00115372"/>
    <w:rsid w:val="001174D8"/>
    <w:rsid w:val="00121323"/>
    <w:rsid w:val="00122845"/>
    <w:rsid w:val="00124141"/>
    <w:rsid w:val="001258E2"/>
    <w:rsid w:val="0013001E"/>
    <w:rsid w:val="00130A4D"/>
    <w:rsid w:val="00132A6E"/>
    <w:rsid w:val="0014005E"/>
    <w:rsid w:val="00140084"/>
    <w:rsid w:val="0014206F"/>
    <w:rsid w:val="001423A1"/>
    <w:rsid w:val="001430FC"/>
    <w:rsid w:val="001458A3"/>
    <w:rsid w:val="00150099"/>
    <w:rsid w:val="00152172"/>
    <w:rsid w:val="00152D1F"/>
    <w:rsid w:val="00153528"/>
    <w:rsid w:val="00157AD8"/>
    <w:rsid w:val="00166A36"/>
    <w:rsid w:val="001741AE"/>
    <w:rsid w:val="001758FB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E7BB1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209E5"/>
    <w:rsid w:val="00323717"/>
    <w:rsid w:val="00324F35"/>
    <w:rsid w:val="00326CFF"/>
    <w:rsid w:val="00331E19"/>
    <w:rsid w:val="00332820"/>
    <w:rsid w:val="00333058"/>
    <w:rsid w:val="00333C25"/>
    <w:rsid w:val="003340C5"/>
    <w:rsid w:val="0033593B"/>
    <w:rsid w:val="003404F4"/>
    <w:rsid w:val="00342788"/>
    <w:rsid w:val="00342EC7"/>
    <w:rsid w:val="00344657"/>
    <w:rsid w:val="00344B4B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258A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744"/>
    <w:rsid w:val="00495A33"/>
    <w:rsid w:val="004A044F"/>
    <w:rsid w:val="004A07A1"/>
    <w:rsid w:val="004A17C7"/>
    <w:rsid w:val="004A419F"/>
    <w:rsid w:val="004A6B36"/>
    <w:rsid w:val="004A7D1A"/>
    <w:rsid w:val="004B27EC"/>
    <w:rsid w:val="004B4446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273"/>
    <w:rsid w:val="00566838"/>
    <w:rsid w:val="0057110F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B7A"/>
    <w:rsid w:val="005B7D99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24C6C"/>
    <w:rsid w:val="00633E88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67FCB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B03F1"/>
    <w:rsid w:val="006B0D02"/>
    <w:rsid w:val="006B16B2"/>
    <w:rsid w:val="006B1C2F"/>
    <w:rsid w:val="006B363D"/>
    <w:rsid w:val="006B39EF"/>
    <w:rsid w:val="006C2297"/>
    <w:rsid w:val="006C2AF9"/>
    <w:rsid w:val="006C3A94"/>
    <w:rsid w:val="006C7E35"/>
    <w:rsid w:val="006D132D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4E13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4C90"/>
    <w:rsid w:val="00762B59"/>
    <w:rsid w:val="00770A12"/>
    <w:rsid w:val="00770AC0"/>
    <w:rsid w:val="00774B17"/>
    <w:rsid w:val="007756A1"/>
    <w:rsid w:val="0078088D"/>
    <w:rsid w:val="00785759"/>
    <w:rsid w:val="00785D03"/>
    <w:rsid w:val="007927CF"/>
    <w:rsid w:val="0079399F"/>
    <w:rsid w:val="00797994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6FFB"/>
    <w:rsid w:val="007B7606"/>
    <w:rsid w:val="007C0BFC"/>
    <w:rsid w:val="007C6DD8"/>
    <w:rsid w:val="007D0054"/>
    <w:rsid w:val="007D258B"/>
    <w:rsid w:val="007D36D3"/>
    <w:rsid w:val="007D3BE3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350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66973"/>
    <w:rsid w:val="00870861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A63AD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18FE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3B0F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186"/>
    <w:rsid w:val="009913F6"/>
    <w:rsid w:val="009922F8"/>
    <w:rsid w:val="00992B5F"/>
    <w:rsid w:val="00997D88"/>
    <w:rsid w:val="009A391D"/>
    <w:rsid w:val="009A63AD"/>
    <w:rsid w:val="009C0727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E7CA2"/>
    <w:rsid w:val="009F20D3"/>
    <w:rsid w:val="00A079A7"/>
    <w:rsid w:val="00A13223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6765"/>
    <w:rsid w:val="00A77EC9"/>
    <w:rsid w:val="00A8094A"/>
    <w:rsid w:val="00A80BEF"/>
    <w:rsid w:val="00A81B15"/>
    <w:rsid w:val="00A81B6C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355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78AC"/>
    <w:rsid w:val="00B55D9A"/>
    <w:rsid w:val="00B5661F"/>
    <w:rsid w:val="00B6099D"/>
    <w:rsid w:val="00B62514"/>
    <w:rsid w:val="00B62F7F"/>
    <w:rsid w:val="00B65101"/>
    <w:rsid w:val="00B7370C"/>
    <w:rsid w:val="00B73955"/>
    <w:rsid w:val="00B75741"/>
    <w:rsid w:val="00B822A0"/>
    <w:rsid w:val="00B8446C"/>
    <w:rsid w:val="00B85DD7"/>
    <w:rsid w:val="00B92920"/>
    <w:rsid w:val="00B93A4D"/>
    <w:rsid w:val="00B943D6"/>
    <w:rsid w:val="00B951E4"/>
    <w:rsid w:val="00BA0D2D"/>
    <w:rsid w:val="00BA47FD"/>
    <w:rsid w:val="00BA5EFD"/>
    <w:rsid w:val="00BB2B4D"/>
    <w:rsid w:val="00BB4346"/>
    <w:rsid w:val="00BB43B8"/>
    <w:rsid w:val="00BB53AC"/>
    <w:rsid w:val="00BB5C16"/>
    <w:rsid w:val="00BB657A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182F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77017"/>
    <w:rsid w:val="00C804C3"/>
    <w:rsid w:val="00C807DB"/>
    <w:rsid w:val="00C81268"/>
    <w:rsid w:val="00C81DC2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D3B53"/>
    <w:rsid w:val="00CD554E"/>
    <w:rsid w:val="00CE0386"/>
    <w:rsid w:val="00CE2B0B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28"/>
    <w:rsid w:val="00E34794"/>
    <w:rsid w:val="00E41279"/>
    <w:rsid w:val="00E502C4"/>
    <w:rsid w:val="00E556C7"/>
    <w:rsid w:val="00E55ABC"/>
    <w:rsid w:val="00E56168"/>
    <w:rsid w:val="00E57B74"/>
    <w:rsid w:val="00E57FEF"/>
    <w:rsid w:val="00E642B3"/>
    <w:rsid w:val="00E70C18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4F93"/>
    <w:rsid w:val="00F26554"/>
    <w:rsid w:val="00F30653"/>
    <w:rsid w:val="00F3413D"/>
    <w:rsid w:val="00F37710"/>
    <w:rsid w:val="00F421FD"/>
    <w:rsid w:val="00F46E30"/>
    <w:rsid w:val="00F63B69"/>
    <w:rsid w:val="00F7184A"/>
    <w:rsid w:val="00F77EB0"/>
    <w:rsid w:val="00F81AC1"/>
    <w:rsid w:val="00F83415"/>
    <w:rsid w:val="00F86974"/>
    <w:rsid w:val="00F87203"/>
    <w:rsid w:val="00F91F8F"/>
    <w:rsid w:val="00FA0215"/>
    <w:rsid w:val="00FA04B9"/>
    <w:rsid w:val="00FA35B4"/>
    <w:rsid w:val="00FA3AE0"/>
    <w:rsid w:val="00FB2CFC"/>
    <w:rsid w:val="00FB49EC"/>
    <w:rsid w:val="00FB560E"/>
    <w:rsid w:val="00FB69E7"/>
    <w:rsid w:val="00FC051F"/>
    <w:rsid w:val="00FC426E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35952386"/>
  <w15:chartTrackingRefBased/>
  <w15:docId w15:val="{D40F1240-61E3-4B20-BAD0-EB14377B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qFormat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qFormat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B2Char1">
    <w:name w:val="B2 Char1"/>
    <w:link w:val="B2"/>
    <w:rsid w:val="00A81B6C"/>
    <w:rPr>
      <w:lang w:val="en-GB"/>
    </w:rPr>
  </w:style>
  <w:style w:type="table" w:styleId="GridTable1Light">
    <w:name w:val="Grid Table 1 Light"/>
    <w:basedOn w:val="TableNormal"/>
    <w:uiPriority w:val="46"/>
    <w:rsid w:val="00624C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5_Test_ex-T1/TSGR5_90_Electronic/Docs/R5-210840.zip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5_Test_ex-T1/TSGR5_89_Electronic/Docs/R5-206167.zip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5_Test_ex-T1/TSGR5_89_Electronic/Docs/R5-20607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E620B2-93AA-404A-B5DE-94F69FBE72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bdd78157-346c-4767-bfdd-352789a5c5f1"/>
    <ds:schemaRef ds:uri="878f5c59-aec9-459c-acf8-8cf941473193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1477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9</cp:revision>
  <dcterms:created xsi:type="dcterms:W3CDTF">2021-05-05T14:42:00Z</dcterms:created>
  <dcterms:modified xsi:type="dcterms:W3CDTF">2021-05-07T21:03:00Z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